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3B" w:rsidRDefault="00D45E3B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Default="00EE1030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Processo Administrativo nº 03/2025</w:t>
      </w:r>
    </w:p>
    <w:p w:rsidR="00A011E7" w:rsidRDefault="00EE1030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Compra Dispensável nº 01/2025</w:t>
      </w:r>
    </w:p>
    <w:p w:rsidR="00A011E7" w:rsidRDefault="00EE1030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Multientidades</w:t>
      </w:r>
    </w:p>
    <w:p w:rsid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P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sz w:val="24"/>
          <w:szCs w:val="24"/>
        </w:rPr>
      </w:pPr>
      <w:r w:rsidRPr="00A011E7">
        <w:rPr>
          <w:rFonts w:ascii="Arial Narrow" w:hAnsi="Arial Narrow" w:cs="Arial"/>
          <w:w w:val="115"/>
          <w:sz w:val="24"/>
          <w:szCs w:val="24"/>
        </w:rPr>
        <w:t>Aviso de Dispensa de Licitação e Pedido de Manifestação de Interesse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  <w:b/>
        </w:rPr>
      </w:pPr>
    </w:p>
    <w:p w:rsidR="00461E9D" w:rsidRPr="00A011E7" w:rsidRDefault="005E71C3" w:rsidP="00FD174F">
      <w:pPr>
        <w:pStyle w:val="Corpodetexto"/>
        <w:spacing w:before="285" w:line="276" w:lineRule="auto"/>
        <w:ind w:right="243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Na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forma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artigo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75,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§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3º,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Lei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nº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14.133/2021,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 xml:space="preserve">de </w:t>
      </w:r>
      <w:r w:rsidR="00BC2A3C" w:rsidRPr="00A011E7">
        <w:rPr>
          <w:rFonts w:ascii="Arial Narrow" w:hAnsi="Arial Narrow" w:cs="Arial"/>
        </w:rPr>
        <w:t>Antonio Carlos</w:t>
      </w:r>
      <w:r w:rsidR="00037358" w:rsidRPr="00A011E7">
        <w:rPr>
          <w:rFonts w:ascii="Arial Narrow" w:hAnsi="Arial Narrow" w:cs="Arial"/>
        </w:rPr>
        <w:t xml:space="preserve">/SC </w:t>
      </w:r>
      <w:r w:rsidRPr="00A011E7">
        <w:rPr>
          <w:rFonts w:ascii="Arial Narrow" w:hAnsi="Arial Narrow" w:cs="Arial"/>
        </w:rPr>
        <w:t>manifesta</w:t>
      </w:r>
      <w:r w:rsidR="00DB078B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 de eventuais interessados para o fornecimento do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seguinte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objeto:</w:t>
      </w:r>
    </w:p>
    <w:p w:rsidR="00461E9D" w:rsidRPr="00A011E7" w:rsidRDefault="00461E9D" w:rsidP="00FD174F">
      <w:pPr>
        <w:pStyle w:val="Corpodetexto"/>
        <w:spacing w:before="11" w:line="276" w:lineRule="auto"/>
        <w:ind w:right="243"/>
        <w:jc w:val="both"/>
        <w:rPr>
          <w:rFonts w:ascii="Arial Narrow" w:hAnsi="Arial Narrow" w:cs="Arial"/>
        </w:rPr>
      </w:pPr>
    </w:p>
    <w:p w:rsidR="00A011E7" w:rsidRPr="00A011E7" w:rsidRDefault="00A011E7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Objeto:</w:t>
      </w:r>
    </w:p>
    <w:p w:rsidR="008D7474" w:rsidRDefault="00EE1030" w:rsidP="00FD174F">
      <w:pPr>
        <w:pStyle w:val="Ttulo2"/>
        <w:spacing w:line="276" w:lineRule="auto"/>
        <w:ind w:left="0" w:right="243" w:firstLine="0"/>
        <w:jc w:val="both"/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</w:pPr>
      <w:r w:rsidRPr="00EE1030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Contratação de empresa e</w:t>
      </w:r>
      <w:r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 xml:space="preserve">specializada no fornecimento de </w:t>
      </w:r>
      <w:r w:rsidRPr="00EE1030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água, gás P13 e gás P45 para uso das secretarias do Município de Antônio Carlos/SC.</w:t>
      </w:r>
    </w:p>
    <w:p w:rsidR="00DF387A" w:rsidRPr="00A011E7" w:rsidRDefault="00DF387A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</w:rPr>
      </w:pPr>
    </w:p>
    <w:p w:rsidR="00A011E7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C</w:t>
      </w:r>
      <w:r w:rsidR="00A011E7">
        <w:rPr>
          <w:rFonts w:ascii="Arial Narrow" w:hAnsi="Arial Narrow" w:cs="Arial"/>
        </w:rPr>
        <w:t>ondições de habilitação:</w:t>
      </w:r>
    </w:p>
    <w:p w:rsidR="00A011E7" w:rsidRPr="00A011E7" w:rsidRDefault="00A011E7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  <w:b w:val="0"/>
        </w:rPr>
      </w:pPr>
      <w:r w:rsidRPr="00A011E7">
        <w:rPr>
          <w:rFonts w:ascii="Arial Narrow" w:hAnsi="Arial Narrow" w:cs="Arial"/>
          <w:b w:val="0"/>
        </w:rPr>
        <w:t>A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empresa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contratada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para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este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processo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</w:t>
      </w:r>
      <w:r w:rsidRPr="00A011E7">
        <w:rPr>
          <w:rFonts w:ascii="Arial Narrow" w:hAnsi="Arial Narrow" w:cs="Arial"/>
          <w:b w:val="0"/>
          <w:spacing w:val="-4"/>
        </w:rPr>
        <w:t xml:space="preserve"> dispensa de </w:t>
      </w:r>
      <w:r w:rsidRPr="00A011E7">
        <w:rPr>
          <w:rFonts w:ascii="Arial Narrow" w:hAnsi="Arial Narrow" w:cs="Arial"/>
          <w:b w:val="0"/>
        </w:rPr>
        <w:t>licitação deverá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demonstrar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sua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habilitação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diante</w:t>
      </w:r>
      <w:r w:rsidRPr="00A011E7">
        <w:rPr>
          <w:rFonts w:ascii="Arial Narrow" w:hAnsi="Arial Narrow" w:cs="Arial"/>
          <w:b w:val="0"/>
          <w:spacing w:val="-57"/>
        </w:rPr>
        <w:t xml:space="preserve">            </w:t>
      </w:r>
      <w:r w:rsidRPr="00A011E7">
        <w:rPr>
          <w:rFonts w:ascii="Arial Narrow" w:hAnsi="Arial Narrow" w:cs="Arial"/>
          <w:b w:val="0"/>
        </w:rPr>
        <w:t xml:space="preserve"> da apresentação 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documentos elencados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no</w:t>
      </w:r>
      <w:r w:rsidR="002B1AEA">
        <w:rPr>
          <w:rFonts w:ascii="Arial Narrow" w:hAnsi="Arial Narrow" w:cs="Arial"/>
          <w:b w:val="0"/>
        </w:rPr>
        <w:t xml:space="preserve"> </w:t>
      </w:r>
      <w:r w:rsidR="001E1201">
        <w:rPr>
          <w:rFonts w:ascii="Arial Narrow" w:hAnsi="Arial Narrow" w:cs="Arial"/>
          <w:b w:val="0"/>
        </w:rPr>
        <w:t xml:space="preserve">item VIII do </w:t>
      </w:r>
      <w:r w:rsidRPr="00A011E7">
        <w:rPr>
          <w:rFonts w:ascii="Arial Narrow" w:hAnsi="Arial Narrow" w:cs="Arial"/>
          <w:b w:val="0"/>
        </w:rPr>
        <w:t>Termo de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Referência</w:t>
      </w:r>
      <w:r w:rsidR="002B1AEA">
        <w:rPr>
          <w:rFonts w:ascii="Arial Narrow" w:hAnsi="Arial Narrow" w:cs="Arial"/>
          <w:b w:val="0"/>
        </w:rPr>
        <w:t xml:space="preserve"> em anexo</w:t>
      </w:r>
      <w:r w:rsidRPr="00A011E7">
        <w:rPr>
          <w:rFonts w:ascii="Arial Narrow" w:hAnsi="Arial Narrow" w:cs="Arial"/>
          <w:b w:val="0"/>
        </w:rPr>
        <w:t>.</w:t>
      </w:r>
    </w:p>
    <w:p w:rsidR="00A011E7" w:rsidRPr="00A011E7" w:rsidRDefault="00A011E7" w:rsidP="00FD174F">
      <w:pPr>
        <w:pStyle w:val="Ttulo2"/>
        <w:spacing w:line="276" w:lineRule="auto"/>
        <w:ind w:right="243"/>
        <w:jc w:val="both"/>
        <w:rPr>
          <w:rFonts w:ascii="Arial Narrow" w:hAnsi="Arial Narrow" w:cs="Arial"/>
        </w:rPr>
      </w:pPr>
    </w:p>
    <w:p w:rsidR="00461E9D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I</w:t>
      </w:r>
      <w:r w:rsidR="00A011E7" w:rsidRPr="00A011E7">
        <w:rPr>
          <w:rFonts w:ascii="Arial Narrow" w:hAnsi="Arial Narrow" w:cs="Arial"/>
        </w:rPr>
        <w:t>nteresse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da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C97EE2">
        <w:rPr>
          <w:rFonts w:ascii="Arial Narrow" w:hAnsi="Arial Narrow" w:cs="Arial"/>
        </w:rPr>
        <w:t>A</w:t>
      </w:r>
      <w:r w:rsidR="00A011E7" w:rsidRPr="00A011E7">
        <w:rPr>
          <w:rFonts w:ascii="Arial Narrow" w:hAnsi="Arial Narrow" w:cs="Arial"/>
        </w:rPr>
        <w:t>dministração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em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A011E7" w:rsidRPr="00A011E7">
        <w:rPr>
          <w:rFonts w:ascii="Arial Narrow" w:hAnsi="Arial Narrow" w:cs="Arial"/>
        </w:rPr>
        <w:t>obter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propostas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adicionais</w:t>
      </w:r>
      <w:r w:rsidR="00A011E7">
        <w:rPr>
          <w:rFonts w:ascii="Arial Narrow" w:hAnsi="Arial Narrow" w:cs="Arial"/>
        </w:rPr>
        <w:t>:</w:t>
      </w:r>
    </w:p>
    <w:p w:rsidR="00461E9D" w:rsidRDefault="005E71C3" w:rsidP="00FD174F">
      <w:pPr>
        <w:pStyle w:val="Corpodetexto"/>
        <w:spacing w:line="276" w:lineRule="auto"/>
        <w:ind w:right="243"/>
        <w:jc w:val="both"/>
        <w:rPr>
          <w:rFonts w:ascii="Arial Narrow" w:hAnsi="Arial Narrow" w:cs="Arial"/>
          <w:spacing w:val="-1"/>
        </w:rPr>
      </w:pPr>
      <w:r w:rsidRPr="00A011E7">
        <w:rPr>
          <w:rFonts w:ascii="Arial Narrow" w:hAnsi="Arial Narrow" w:cs="Arial"/>
        </w:rPr>
        <w:t>Caso exista empresa do ramo compatíve</w:t>
      </w:r>
      <w:r w:rsidR="00ED4DED" w:rsidRPr="00A011E7">
        <w:rPr>
          <w:rFonts w:ascii="Arial Narrow" w:hAnsi="Arial Narrow" w:cs="Arial"/>
        </w:rPr>
        <w:t xml:space="preserve">l com o objeto acima descrito </w:t>
      </w:r>
      <w:r w:rsidRPr="00A011E7">
        <w:rPr>
          <w:rFonts w:ascii="Arial Narrow" w:hAnsi="Arial Narrow" w:cs="Arial"/>
        </w:rPr>
        <w:t>que se enquadre nos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 xml:space="preserve">requisitos de habilitação mínimos necessários, o Município de </w:t>
      </w:r>
      <w:r w:rsidR="00BC2A3C" w:rsidRPr="00A011E7">
        <w:rPr>
          <w:rFonts w:ascii="Arial Narrow" w:hAnsi="Arial Narrow" w:cs="Arial"/>
        </w:rPr>
        <w:t>Antonio Carlos</w:t>
      </w:r>
      <w:r w:rsidRPr="00A011E7">
        <w:rPr>
          <w:rFonts w:ascii="Arial Narrow" w:hAnsi="Arial Narrow" w:cs="Arial"/>
        </w:rPr>
        <w:t>/SC manifesta total</w:t>
      </w:r>
      <w:r w:rsidR="00BC2A3C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</w:t>
      </w:r>
      <w:r w:rsidR="00B759F8">
        <w:rPr>
          <w:rFonts w:ascii="Arial Narrow" w:hAnsi="Arial Narrow" w:cs="Arial"/>
        </w:rPr>
        <w:t xml:space="preserve"> </w:t>
      </w:r>
      <w:r w:rsidR="00823BD2">
        <w:rPr>
          <w:rFonts w:ascii="Arial Narrow" w:hAnsi="Arial Narrow" w:cs="Arial"/>
        </w:rPr>
        <w:t>conforme</w:t>
      </w:r>
      <w:r w:rsidR="00EE1030">
        <w:rPr>
          <w:rFonts w:ascii="Arial Narrow" w:hAnsi="Arial Narrow" w:cs="Arial"/>
        </w:rPr>
        <w:t xml:space="preserve"> </w:t>
      </w:r>
      <w:r w:rsidR="00B759F8">
        <w:rPr>
          <w:rFonts w:ascii="Arial Narrow" w:hAnsi="Arial Narrow" w:cs="Arial"/>
        </w:rPr>
        <w:t>Termo de Ref</w:t>
      </w:r>
      <w:r w:rsidR="00670754">
        <w:rPr>
          <w:rFonts w:ascii="Arial Narrow" w:hAnsi="Arial Narrow" w:cs="Arial"/>
        </w:rPr>
        <w:t>erência em a</w:t>
      </w:r>
      <w:r w:rsidR="00B759F8">
        <w:rPr>
          <w:rFonts w:ascii="Arial Narrow" w:hAnsi="Arial Narrow" w:cs="Arial"/>
        </w:rPr>
        <w:t>nexo</w:t>
      </w:r>
      <w:r w:rsidRPr="00A011E7">
        <w:rPr>
          <w:rFonts w:ascii="Arial Narrow" w:hAnsi="Arial Narrow" w:cs="Arial"/>
        </w:rPr>
        <w:t>, a fim de verificar qual melhor atende às necessidades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Administração Municipal,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no prazo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de</w:t>
      </w:r>
      <w:r w:rsidRPr="00A011E7">
        <w:rPr>
          <w:rFonts w:ascii="Arial Narrow" w:hAnsi="Arial Narrow" w:cs="Arial"/>
          <w:spacing w:val="-1"/>
        </w:rPr>
        <w:t xml:space="preserve"> </w:t>
      </w:r>
      <w:r w:rsidR="00376EC6" w:rsidRPr="00A011E7">
        <w:rPr>
          <w:rFonts w:ascii="Arial Narrow" w:hAnsi="Arial Narrow" w:cs="Arial"/>
        </w:rPr>
        <w:t xml:space="preserve">03 (três) dias úteis </w:t>
      </w:r>
      <w:r w:rsidRPr="00A011E7">
        <w:rPr>
          <w:rFonts w:ascii="Arial Narrow" w:hAnsi="Arial Narrow" w:cs="Arial"/>
        </w:rPr>
        <w:t>a contar</w:t>
      </w:r>
      <w:r w:rsidRPr="00A011E7">
        <w:rPr>
          <w:rFonts w:ascii="Arial Narrow" w:hAnsi="Arial Narrow" w:cs="Arial"/>
          <w:spacing w:val="-2"/>
        </w:rPr>
        <w:t xml:space="preserve"> </w:t>
      </w:r>
      <w:r w:rsidR="00376EC6" w:rsidRPr="00A011E7">
        <w:rPr>
          <w:rFonts w:ascii="Arial Narrow" w:hAnsi="Arial Narrow" w:cs="Arial"/>
        </w:rPr>
        <w:t>desta publicação,</w:t>
      </w:r>
      <w:r w:rsidR="00EE1030">
        <w:rPr>
          <w:rFonts w:ascii="Arial Narrow" w:hAnsi="Arial Narrow" w:cs="Arial"/>
          <w:spacing w:val="-1"/>
        </w:rPr>
        <w:t xml:space="preserve"> ou seja, até o dia 14/01</w:t>
      </w:r>
      <w:r w:rsidR="005802A6" w:rsidRPr="00A011E7">
        <w:rPr>
          <w:rFonts w:ascii="Arial Narrow" w:hAnsi="Arial Narrow" w:cs="Arial"/>
          <w:spacing w:val="-1"/>
        </w:rPr>
        <w:t>/</w:t>
      </w:r>
      <w:r w:rsidR="00EE1030">
        <w:rPr>
          <w:rFonts w:ascii="Arial Narrow" w:hAnsi="Arial Narrow" w:cs="Arial"/>
          <w:spacing w:val="-1"/>
        </w:rPr>
        <w:t>2025</w:t>
      </w:r>
      <w:r w:rsidR="00376EC6" w:rsidRPr="00A011E7">
        <w:rPr>
          <w:rFonts w:ascii="Arial Narrow" w:hAnsi="Arial Narrow" w:cs="Arial"/>
          <w:spacing w:val="-1"/>
        </w:rPr>
        <w:t>.</w:t>
      </w:r>
    </w:p>
    <w:p w:rsidR="00905E48" w:rsidRPr="00A011E7" w:rsidRDefault="00905E48" w:rsidP="00FD174F">
      <w:pPr>
        <w:pStyle w:val="Corpodetexto"/>
        <w:spacing w:line="276" w:lineRule="auto"/>
        <w:ind w:right="243"/>
        <w:jc w:val="both"/>
        <w:rPr>
          <w:rFonts w:ascii="Arial Narrow" w:hAnsi="Arial Narrow" w:cs="Arial"/>
        </w:rPr>
      </w:pPr>
    </w:p>
    <w:p w:rsidR="00461E9D" w:rsidRDefault="005E71C3" w:rsidP="00FD174F">
      <w:pPr>
        <w:pStyle w:val="Ttulo2"/>
        <w:spacing w:before="149" w:line="276" w:lineRule="auto"/>
        <w:ind w:left="0" w:right="243" w:firstLine="0"/>
        <w:jc w:val="both"/>
        <w:rPr>
          <w:rFonts w:ascii="Arial Narrow" w:hAnsi="Arial Narrow" w:cs="Arial"/>
          <w:spacing w:val="-1"/>
        </w:rPr>
      </w:pPr>
      <w:r w:rsidRPr="00A011E7">
        <w:rPr>
          <w:rFonts w:ascii="Arial Narrow" w:hAnsi="Arial Narrow" w:cs="Arial"/>
        </w:rPr>
        <w:t>As propostas, juntamente com a documentação de habilitação, deverão ser enviadas ao</w:t>
      </w:r>
      <w:r w:rsidRPr="00A011E7">
        <w:rPr>
          <w:rFonts w:ascii="Arial Narrow" w:hAnsi="Arial Narrow" w:cs="Arial"/>
          <w:spacing w:val="1"/>
        </w:rPr>
        <w:t xml:space="preserve"> </w:t>
      </w:r>
      <w:r w:rsidR="00C97EE2">
        <w:rPr>
          <w:rFonts w:ascii="Arial Narrow" w:hAnsi="Arial Narrow" w:cs="Arial"/>
        </w:rPr>
        <w:t xml:space="preserve">e-mail </w:t>
      </w:r>
      <w:hyperlink r:id="rId8" w:history="1">
        <w:r w:rsidR="00905E48" w:rsidRPr="00622AD6">
          <w:rPr>
            <w:rStyle w:val="Hyperlink"/>
            <w:rFonts w:ascii="Arial Narrow" w:hAnsi="Arial Narrow" w:cs="Arial"/>
            <w:spacing w:val="-1"/>
          </w:rPr>
          <w:t>licitacao2@antoniocarlos.sc.gov.br</w:t>
        </w:r>
      </w:hyperlink>
    </w:p>
    <w:p w:rsidR="00905E48" w:rsidRPr="00A011E7" w:rsidRDefault="00905E48" w:rsidP="00FD174F">
      <w:pPr>
        <w:pStyle w:val="Ttulo2"/>
        <w:spacing w:before="149" w:line="276" w:lineRule="auto"/>
        <w:ind w:left="0" w:right="243" w:firstLine="0"/>
        <w:jc w:val="both"/>
        <w:rPr>
          <w:rFonts w:ascii="Arial Narrow" w:hAnsi="Arial Narrow" w:cs="Arial"/>
        </w:rPr>
      </w:pPr>
    </w:p>
    <w:p w:rsidR="00461E9D" w:rsidRPr="00A011E7" w:rsidRDefault="005E71C3" w:rsidP="00FD174F">
      <w:pPr>
        <w:pStyle w:val="Corpodetexto"/>
        <w:spacing w:before="151" w:line="276" w:lineRule="auto"/>
        <w:ind w:right="243"/>
        <w:jc w:val="both"/>
        <w:rPr>
          <w:rFonts w:ascii="Arial Narrow" w:hAnsi="Arial Narrow" w:cs="Arial"/>
          <w:b/>
        </w:rPr>
      </w:pPr>
      <w:r w:rsidRPr="00A011E7">
        <w:rPr>
          <w:rFonts w:ascii="Arial Narrow" w:hAnsi="Arial Narrow" w:cs="Arial"/>
        </w:rPr>
        <w:t>Maiores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informações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podem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ser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obtidas</w:t>
      </w:r>
      <w:r w:rsidRPr="00A011E7">
        <w:rPr>
          <w:rFonts w:ascii="Arial Narrow" w:hAnsi="Arial Narrow" w:cs="Arial"/>
          <w:spacing w:val="-4"/>
        </w:rPr>
        <w:t xml:space="preserve"> </w:t>
      </w:r>
      <w:r w:rsidRPr="00A011E7">
        <w:rPr>
          <w:rFonts w:ascii="Arial Narrow" w:hAnsi="Arial Narrow" w:cs="Arial"/>
        </w:rPr>
        <w:t>no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site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oficial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4"/>
        </w:rPr>
        <w:t xml:space="preserve"> </w:t>
      </w:r>
      <w:hyperlink r:id="rId9" w:history="1">
        <w:r w:rsidR="00BC2A3C" w:rsidRPr="00A011E7">
          <w:rPr>
            <w:rStyle w:val="Hyperlink"/>
            <w:rFonts w:ascii="Arial Narrow" w:hAnsi="Arial Narrow" w:cs="Arial"/>
            <w:color w:val="auto"/>
          </w:rPr>
          <w:t>www.antoniocarlos.sc.gov.br</w:t>
        </w:r>
      </w:hyperlink>
      <w:r w:rsidR="00376EC6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</w:rPr>
        <w:t xml:space="preserve"> ou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pelo e-mail</w:t>
      </w:r>
      <w:r w:rsidR="00BC2A3C" w:rsidRPr="00A011E7">
        <w:rPr>
          <w:rFonts w:ascii="Arial Narrow" w:hAnsi="Arial Narrow" w:cs="Arial"/>
        </w:rPr>
        <w:t>: licitacao</w:t>
      </w:r>
      <w:r w:rsidR="00BE7B1D" w:rsidRPr="00A011E7">
        <w:rPr>
          <w:rFonts w:ascii="Arial Narrow" w:hAnsi="Arial Narrow" w:cs="Arial"/>
        </w:rPr>
        <w:t>2</w:t>
      </w:r>
      <w:r w:rsidR="001B6DC3">
        <w:rPr>
          <w:rFonts w:ascii="Arial Narrow" w:hAnsi="Arial Narrow" w:cs="Arial"/>
        </w:rPr>
        <w:t>@antoniocarlos.sc.gov.br.</w:t>
      </w:r>
    </w:p>
    <w:p w:rsidR="00461E9D" w:rsidRPr="00FF482D" w:rsidRDefault="00461E9D" w:rsidP="00FD174F">
      <w:pPr>
        <w:pStyle w:val="Corpodetexto"/>
        <w:spacing w:before="1" w:line="276" w:lineRule="auto"/>
        <w:ind w:right="243"/>
        <w:rPr>
          <w:rFonts w:ascii="Arial Narrow" w:hAnsi="Arial Narrow" w:cs="Arial"/>
          <w:b/>
        </w:rPr>
      </w:pPr>
    </w:p>
    <w:p w:rsidR="00FD174F" w:rsidRDefault="00FD174F" w:rsidP="00FD174F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</w:p>
    <w:p w:rsidR="00461E9D" w:rsidRPr="00FF482D" w:rsidRDefault="008A2FC4" w:rsidP="00905E48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  <w:r w:rsidRPr="00FF482D">
        <w:rPr>
          <w:rFonts w:ascii="Arial Narrow" w:hAnsi="Arial Narrow" w:cs="Arial"/>
        </w:rPr>
        <w:t>Antô</w:t>
      </w:r>
      <w:r w:rsidR="00C97EE2">
        <w:rPr>
          <w:rFonts w:ascii="Arial Narrow" w:hAnsi="Arial Narrow" w:cs="Arial"/>
        </w:rPr>
        <w:t xml:space="preserve">nio </w:t>
      </w:r>
      <w:r w:rsidR="00EE1030">
        <w:rPr>
          <w:rFonts w:ascii="Arial Narrow" w:hAnsi="Arial Narrow" w:cs="Arial"/>
        </w:rPr>
        <w:t>Carlos, 09</w:t>
      </w:r>
      <w:r w:rsidR="001B4C47">
        <w:rPr>
          <w:rFonts w:ascii="Arial Narrow" w:hAnsi="Arial Narrow" w:cs="Arial"/>
        </w:rPr>
        <w:t xml:space="preserve"> de </w:t>
      </w:r>
      <w:r w:rsidR="00EE1030">
        <w:rPr>
          <w:rFonts w:ascii="Arial Narrow" w:hAnsi="Arial Narrow" w:cs="Arial"/>
        </w:rPr>
        <w:t>janei</w:t>
      </w:r>
      <w:r w:rsidR="001B4C47">
        <w:rPr>
          <w:rFonts w:ascii="Arial Narrow" w:hAnsi="Arial Narrow" w:cs="Arial"/>
        </w:rPr>
        <w:t>ro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5802A6" w:rsidRPr="00FF482D">
        <w:rPr>
          <w:rFonts w:ascii="Arial Narrow" w:hAnsi="Arial Narrow" w:cs="Arial"/>
        </w:rPr>
        <w:t>de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EE1030">
        <w:rPr>
          <w:rFonts w:ascii="Arial Narrow" w:hAnsi="Arial Narrow" w:cs="Arial"/>
        </w:rPr>
        <w:t>2025</w:t>
      </w:r>
    </w:p>
    <w:p w:rsidR="00461E9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Default="00BC2A3C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1E1201" w:rsidRPr="00FF482D" w:rsidRDefault="001E1201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Pr="001B6DC3" w:rsidRDefault="00BE7B1D" w:rsidP="00FD174F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 w:rsidRPr="001B6DC3">
        <w:rPr>
          <w:rFonts w:ascii="Arial Narrow" w:hAnsi="Arial Narrow" w:cs="Arial"/>
          <w:sz w:val="24"/>
          <w:szCs w:val="24"/>
        </w:rPr>
        <w:t>Vinicius de Brito Zambiazzi</w:t>
      </w:r>
    </w:p>
    <w:p w:rsidR="00641E0E" w:rsidRDefault="00FD174F" w:rsidP="00905E48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Agente de Contratação</w:t>
      </w:r>
    </w:p>
    <w:p w:rsidR="001E1201" w:rsidRDefault="001E1201" w:rsidP="00905E48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</w:p>
    <w:p w:rsidR="001E1201" w:rsidRDefault="001E1201" w:rsidP="00905E48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</w:p>
    <w:p w:rsidR="00823BD2" w:rsidRPr="008937B5" w:rsidRDefault="00823BD2" w:rsidP="00823BD2">
      <w:pPr>
        <w:spacing w:before="240" w:after="240"/>
        <w:jc w:val="center"/>
        <w:rPr>
          <w:b/>
          <w:szCs w:val="24"/>
          <w:u w:val="single"/>
        </w:rPr>
      </w:pPr>
      <w:r w:rsidRPr="008937B5">
        <w:rPr>
          <w:b/>
          <w:szCs w:val="24"/>
          <w:u w:val="single"/>
        </w:rPr>
        <w:lastRenderedPageBreak/>
        <w:t xml:space="preserve">Termo de Referência </w:t>
      </w:r>
      <w:r>
        <w:rPr>
          <w:b/>
          <w:szCs w:val="24"/>
          <w:u w:val="single"/>
        </w:rPr>
        <w:t xml:space="preserve">ADM </w:t>
      </w:r>
      <w:r w:rsidRPr="008937B5">
        <w:rPr>
          <w:b/>
          <w:szCs w:val="24"/>
          <w:u w:val="single"/>
        </w:rPr>
        <w:t xml:space="preserve">nº </w:t>
      </w:r>
      <w:r>
        <w:rPr>
          <w:b/>
          <w:szCs w:val="24"/>
          <w:u w:val="single"/>
        </w:rPr>
        <w:t>01/2025</w:t>
      </w:r>
    </w:p>
    <w:p w:rsidR="00823BD2" w:rsidRPr="008937B5" w:rsidRDefault="00823BD2" w:rsidP="00823BD2">
      <w:pPr>
        <w:spacing w:line="360" w:lineRule="auto"/>
        <w:rPr>
          <w:b/>
          <w:szCs w:val="24"/>
        </w:rPr>
      </w:pP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I – Objeto:</w:t>
      </w:r>
    </w:p>
    <w:p w:rsidR="00823BD2" w:rsidRDefault="00823BD2" w:rsidP="00823BD2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Aquisição de materiais de consumo para uso das secretarias </w:t>
      </w:r>
      <w:r w:rsidRPr="008937B5">
        <w:t>do Município de Antônio Carlos</w:t>
      </w:r>
      <w:r>
        <w:t>/SC, no decorrer dos 02 (dois) próximos meses.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3874"/>
        <w:gridCol w:w="962"/>
        <w:gridCol w:w="1231"/>
        <w:gridCol w:w="950"/>
        <w:gridCol w:w="931"/>
      </w:tblGrid>
      <w:tr w:rsidR="00823BD2" w:rsidRPr="008937B5" w:rsidTr="000A46E4">
        <w:tc>
          <w:tcPr>
            <w:tcW w:w="1145" w:type="dxa"/>
          </w:tcPr>
          <w:p w:rsidR="00823BD2" w:rsidRPr="008937B5" w:rsidRDefault="00823BD2" w:rsidP="005D01B1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Item</w:t>
            </w:r>
          </w:p>
        </w:tc>
        <w:tc>
          <w:tcPr>
            <w:tcW w:w="4051" w:type="dxa"/>
            <w:shd w:val="clear" w:color="auto" w:fill="auto"/>
          </w:tcPr>
          <w:p w:rsidR="00823BD2" w:rsidRPr="008937B5" w:rsidRDefault="00823BD2" w:rsidP="005D01B1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Descrição</w:t>
            </w:r>
          </w:p>
        </w:tc>
        <w:tc>
          <w:tcPr>
            <w:tcW w:w="962" w:type="dxa"/>
            <w:shd w:val="clear" w:color="auto" w:fill="auto"/>
          </w:tcPr>
          <w:p w:rsidR="00823BD2" w:rsidRPr="008937B5" w:rsidRDefault="00823BD2" w:rsidP="005D01B1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Unidade</w:t>
            </w:r>
          </w:p>
        </w:tc>
        <w:tc>
          <w:tcPr>
            <w:tcW w:w="1231" w:type="dxa"/>
            <w:shd w:val="clear" w:color="auto" w:fill="auto"/>
          </w:tcPr>
          <w:p w:rsidR="00823BD2" w:rsidRPr="008937B5" w:rsidRDefault="00823BD2" w:rsidP="005D01B1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Quantidade</w:t>
            </w:r>
          </w:p>
        </w:tc>
        <w:tc>
          <w:tcPr>
            <w:tcW w:w="720" w:type="dxa"/>
            <w:shd w:val="clear" w:color="auto" w:fill="auto"/>
          </w:tcPr>
          <w:p w:rsidR="00823BD2" w:rsidRPr="008937B5" w:rsidRDefault="00823BD2" w:rsidP="005D01B1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Valor Unitário</w:t>
            </w:r>
          </w:p>
        </w:tc>
        <w:tc>
          <w:tcPr>
            <w:tcW w:w="947" w:type="dxa"/>
            <w:shd w:val="clear" w:color="auto" w:fill="auto"/>
          </w:tcPr>
          <w:p w:rsidR="00823BD2" w:rsidRPr="008937B5" w:rsidRDefault="00823BD2" w:rsidP="005D01B1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Valor Total</w:t>
            </w:r>
          </w:p>
        </w:tc>
      </w:tr>
      <w:tr w:rsidR="00823BD2" w:rsidRPr="008937B5" w:rsidTr="000A46E4">
        <w:trPr>
          <w:trHeight w:val="1645"/>
        </w:trPr>
        <w:tc>
          <w:tcPr>
            <w:tcW w:w="1145" w:type="dxa"/>
            <w:vAlign w:val="center"/>
          </w:tcPr>
          <w:p w:rsidR="00823BD2" w:rsidRPr="008937B5" w:rsidRDefault="00823BD2" w:rsidP="005D01B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1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A46E4" w:rsidRPr="000A46E4" w:rsidRDefault="000A46E4" w:rsidP="000A46E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0A46E4">
              <w:rPr>
                <w:rFonts w:eastAsia="Calibri"/>
                <w:szCs w:val="24"/>
              </w:rPr>
              <w:t>Água mineral, natural, sem gás.</w:t>
            </w:r>
          </w:p>
          <w:p w:rsidR="00823BD2" w:rsidRPr="008937B5" w:rsidRDefault="000A46E4" w:rsidP="000A46E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0A46E4">
              <w:rPr>
                <w:rFonts w:eastAsia="Calibri"/>
                <w:szCs w:val="24"/>
              </w:rPr>
              <w:t>Composição:  acondicionada em bombona de plástico com 20 LITROS para bebedouro (somente o liquido). Composição: bicarbonato 40,51 – sódio 8,46 – cálcio 6,72 – potássio 3,40 – cloreto 2,66 – borato 2,20 – magnésio 1,23 – sulfato 1,20 – fluoreto 1,2 – nitrato 0,7 – estrôncio 0,022 – lítio 0,014, não alcalina, apresentando PH até número 7, de acordo coma ANVISA, com registro no ministério da saúde, Prazo de validade mínimo de 06 (seis) meses a partir da data de entrega do produto, qualidade comprovada através de laudo da última semana de produção. A embalagem deverá conter externamente os dados de identificação, procedência, número de lote, data de validade, qualidade do produto e registro na ABNT/Anvisa ou INMETRO.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23BD2" w:rsidRPr="008937B5" w:rsidRDefault="00823BD2" w:rsidP="005D01B1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Unidade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823BD2" w:rsidRPr="008937B5" w:rsidRDefault="00823BD2" w:rsidP="005D01B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3BD2" w:rsidRPr="008937B5" w:rsidRDefault="00823BD2" w:rsidP="005D01B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R$</w:t>
            </w:r>
            <w:r>
              <w:rPr>
                <w:rFonts w:eastAsia="Calibri"/>
                <w:szCs w:val="24"/>
              </w:rPr>
              <w:t xml:space="preserve"> xx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23BD2" w:rsidRPr="008937B5" w:rsidRDefault="00823BD2" w:rsidP="005D01B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R$</w:t>
            </w:r>
            <w:r>
              <w:rPr>
                <w:rFonts w:eastAsia="Calibri"/>
                <w:szCs w:val="24"/>
              </w:rPr>
              <w:t xml:space="preserve"> xx</w:t>
            </w:r>
          </w:p>
        </w:tc>
      </w:tr>
      <w:tr w:rsidR="00823BD2" w:rsidRPr="008937B5" w:rsidTr="000A46E4">
        <w:trPr>
          <w:trHeight w:val="1645"/>
        </w:trPr>
        <w:tc>
          <w:tcPr>
            <w:tcW w:w="1145" w:type="dxa"/>
            <w:vAlign w:val="center"/>
          </w:tcPr>
          <w:p w:rsidR="00823BD2" w:rsidRPr="008937B5" w:rsidRDefault="00823BD2" w:rsidP="005D01B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2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A46E4" w:rsidRPr="000A46E4" w:rsidRDefault="000A46E4" w:rsidP="000A46E4">
            <w:pPr>
              <w:spacing w:line="360" w:lineRule="auto"/>
              <w:jc w:val="center"/>
              <w:rPr>
                <w:szCs w:val="24"/>
              </w:rPr>
            </w:pPr>
            <w:r w:rsidRPr="000A46E4">
              <w:rPr>
                <w:szCs w:val="24"/>
              </w:rPr>
              <w:t>Gás liquefeito de cozinha P 13.</w:t>
            </w:r>
          </w:p>
          <w:p w:rsidR="00823BD2" w:rsidRPr="008937B5" w:rsidRDefault="000A46E4" w:rsidP="000A46E4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0A46E4">
              <w:rPr>
                <w:szCs w:val="24"/>
              </w:rPr>
              <w:t>Composição propano e butano, tipo granel residencial, carga 13 kg. A embalagem deverá conter externamente os dados de identificação, procedência, número do lote, validade e número de registro na ANVISA/MS OU INMETRO.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23BD2" w:rsidRPr="008937B5" w:rsidRDefault="00823BD2" w:rsidP="005D01B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Unidade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823BD2" w:rsidRPr="008937B5" w:rsidRDefault="00823BD2" w:rsidP="005D01B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3BD2" w:rsidRPr="008937B5" w:rsidRDefault="00823BD2" w:rsidP="005D01B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 xml:space="preserve">R$ </w:t>
            </w:r>
            <w:r>
              <w:rPr>
                <w:rFonts w:eastAsia="Calibri"/>
                <w:szCs w:val="24"/>
              </w:rPr>
              <w:t>xx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23BD2" w:rsidRPr="008937B5" w:rsidRDefault="00823BD2" w:rsidP="005D01B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 xml:space="preserve">R$ </w:t>
            </w:r>
            <w:r>
              <w:rPr>
                <w:rFonts w:eastAsia="Calibri"/>
                <w:szCs w:val="24"/>
              </w:rPr>
              <w:t>xx</w:t>
            </w:r>
          </w:p>
        </w:tc>
      </w:tr>
      <w:tr w:rsidR="00823BD2" w:rsidRPr="008937B5" w:rsidTr="000A46E4">
        <w:trPr>
          <w:trHeight w:val="1645"/>
        </w:trPr>
        <w:tc>
          <w:tcPr>
            <w:tcW w:w="1145" w:type="dxa"/>
            <w:vAlign w:val="center"/>
          </w:tcPr>
          <w:p w:rsidR="00823BD2" w:rsidRPr="008937B5" w:rsidRDefault="00823BD2" w:rsidP="005D01B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lastRenderedPageBreak/>
              <w:t>3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0A46E4" w:rsidRPr="000A46E4" w:rsidRDefault="000A46E4" w:rsidP="000A46E4">
            <w:pPr>
              <w:spacing w:line="360" w:lineRule="auto"/>
              <w:jc w:val="center"/>
              <w:rPr>
                <w:szCs w:val="24"/>
              </w:rPr>
            </w:pPr>
            <w:r w:rsidRPr="000A46E4">
              <w:rPr>
                <w:szCs w:val="24"/>
              </w:rPr>
              <w:t>Gás liquefeito de petróleo P 45.</w:t>
            </w:r>
          </w:p>
          <w:p w:rsidR="00823BD2" w:rsidRPr="008937B5" w:rsidRDefault="000A46E4" w:rsidP="000A46E4">
            <w:pPr>
              <w:spacing w:line="360" w:lineRule="auto"/>
              <w:jc w:val="center"/>
              <w:rPr>
                <w:szCs w:val="24"/>
              </w:rPr>
            </w:pPr>
            <w:r w:rsidRPr="000A46E4">
              <w:rPr>
                <w:szCs w:val="24"/>
              </w:rPr>
              <w:t>Composição: propano e butano, tipo granel residencial, carga 45 kg. A embalagem deverá conter externamente os dados de identificação, procedência, número do lote, validade e número de registro na ANVISA/MS ou INMETRO.</w:t>
            </w:r>
            <w:bookmarkStart w:id="0" w:name="_GoBack"/>
            <w:bookmarkEnd w:id="0"/>
          </w:p>
        </w:tc>
        <w:tc>
          <w:tcPr>
            <w:tcW w:w="962" w:type="dxa"/>
            <w:shd w:val="clear" w:color="auto" w:fill="auto"/>
            <w:vAlign w:val="center"/>
          </w:tcPr>
          <w:p w:rsidR="00823BD2" w:rsidRPr="008937B5" w:rsidRDefault="00823BD2" w:rsidP="005D01B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Unidade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823BD2" w:rsidRPr="008937B5" w:rsidRDefault="00823BD2" w:rsidP="005D01B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3BD2" w:rsidRPr="008937B5" w:rsidRDefault="00823BD2" w:rsidP="005D01B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 xml:space="preserve">R$ </w:t>
            </w:r>
            <w:r>
              <w:rPr>
                <w:rFonts w:eastAsia="Calibri"/>
                <w:szCs w:val="24"/>
              </w:rPr>
              <w:t>xx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23BD2" w:rsidRPr="008937B5" w:rsidRDefault="00823BD2" w:rsidP="005D01B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 xml:space="preserve">R$ </w:t>
            </w:r>
            <w:r>
              <w:rPr>
                <w:rFonts w:eastAsia="Calibri"/>
                <w:szCs w:val="24"/>
              </w:rPr>
              <w:t>xx</w:t>
            </w:r>
          </w:p>
        </w:tc>
      </w:tr>
      <w:tr w:rsidR="00823BD2" w:rsidRPr="008937B5" w:rsidTr="000A46E4">
        <w:trPr>
          <w:trHeight w:val="607"/>
        </w:trPr>
        <w:tc>
          <w:tcPr>
            <w:tcW w:w="8109" w:type="dxa"/>
            <w:gridSpan w:val="5"/>
            <w:vAlign w:val="center"/>
          </w:tcPr>
          <w:p w:rsidR="00823BD2" w:rsidRPr="008937B5" w:rsidRDefault="00823BD2" w:rsidP="005D01B1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  <w:r w:rsidRPr="008937B5">
              <w:rPr>
                <w:rFonts w:eastAsia="Calibri"/>
                <w:b/>
                <w:szCs w:val="24"/>
              </w:rPr>
              <w:t xml:space="preserve">Valor Total 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23BD2" w:rsidRPr="008937B5" w:rsidRDefault="00823BD2" w:rsidP="005D01B1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  <w:r w:rsidRPr="008937B5">
              <w:rPr>
                <w:rFonts w:eastAsia="Calibri"/>
                <w:b/>
                <w:szCs w:val="24"/>
              </w:rPr>
              <w:t xml:space="preserve">R$ </w:t>
            </w:r>
            <w:r>
              <w:rPr>
                <w:rFonts w:eastAsia="Calibri"/>
                <w:b/>
                <w:szCs w:val="24"/>
              </w:rPr>
              <w:t>xxx</w:t>
            </w:r>
          </w:p>
        </w:tc>
      </w:tr>
    </w:tbl>
    <w:p w:rsidR="00823BD2" w:rsidRDefault="00823BD2" w:rsidP="00823BD2">
      <w:pPr>
        <w:pStyle w:val="NormalWeb"/>
        <w:spacing w:before="0" w:beforeAutospacing="0" w:after="0" w:afterAutospacing="0" w:line="360" w:lineRule="auto"/>
        <w:jc w:val="both"/>
      </w:pPr>
      <w:r>
        <w:t xml:space="preserve">Não será elaborado o </w:t>
      </w:r>
      <w:r w:rsidRPr="00080C32">
        <w:t>Contrato Administrativo</w:t>
      </w:r>
      <w:r>
        <w:t>, pois a Nota de Empenho suprirá tal documento.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II – Fundamentação: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8937B5">
        <w:t>Conforme previsão do Decreto Municipal nº 11/2024, acerca do Estudo Técnico Preliminar (ETP), o referido diploma legal dispõe:</w:t>
      </w:r>
    </w:p>
    <w:p w:rsidR="00823BD2" w:rsidRDefault="00823BD2" w:rsidP="00823BD2">
      <w:pPr>
        <w:pStyle w:val="NormalWeb"/>
        <w:spacing w:before="0" w:beforeAutospacing="0" w:after="0" w:afterAutospacing="0" w:line="360" w:lineRule="auto"/>
        <w:ind w:left="3402"/>
        <w:jc w:val="both"/>
        <w:rPr>
          <w:sz w:val="20"/>
          <w:szCs w:val="20"/>
        </w:rPr>
      </w:pPr>
      <w:r w:rsidRPr="00080C32">
        <w:rPr>
          <w:sz w:val="20"/>
          <w:szCs w:val="20"/>
        </w:rPr>
        <w:t xml:space="preserve">Art. 8º Em âmbito municipal, a elaboração do Estudo Técnico Preliminar será opcional nos seguintes casos: </w:t>
      </w:r>
    </w:p>
    <w:p w:rsidR="00823BD2" w:rsidRPr="00080C32" w:rsidRDefault="00823BD2" w:rsidP="00823BD2">
      <w:pPr>
        <w:pStyle w:val="NormalWeb"/>
        <w:spacing w:before="0" w:beforeAutospacing="0" w:after="0" w:afterAutospacing="0" w:line="360" w:lineRule="auto"/>
        <w:ind w:left="3402"/>
        <w:jc w:val="both"/>
        <w:rPr>
          <w:sz w:val="20"/>
          <w:szCs w:val="20"/>
        </w:rPr>
      </w:pPr>
      <w:r w:rsidRPr="00080C32">
        <w:rPr>
          <w:sz w:val="20"/>
          <w:szCs w:val="20"/>
        </w:rPr>
        <w:t xml:space="preserve">I - contratação de obras, serviços, compras e locações, cujos valores se enquadrem nos limites dos incisos I e II do artigo 75 da Lei </w:t>
      </w:r>
      <w:proofErr w:type="gramStart"/>
      <w:r w:rsidRPr="00080C32">
        <w:rPr>
          <w:sz w:val="20"/>
          <w:szCs w:val="20"/>
        </w:rPr>
        <w:t>n.º</w:t>
      </w:r>
      <w:proofErr w:type="gramEnd"/>
      <w:r w:rsidRPr="00080C32">
        <w:rPr>
          <w:sz w:val="20"/>
          <w:szCs w:val="20"/>
        </w:rPr>
        <w:t xml:space="preserve"> 14.133, de 1º de abril de 2021, independentemente da forma de contratação.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both"/>
      </w:pPr>
    </w:p>
    <w:p w:rsidR="00823BD2" w:rsidRDefault="00823BD2" w:rsidP="00823BD2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8937B5">
        <w:t xml:space="preserve">A partir da Lei nº 14.133/21, dispomos da fundamentação contida no Artigo 75, Inciso II: </w:t>
      </w:r>
    </w:p>
    <w:p w:rsidR="00823BD2" w:rsidRDefault="00823BD2" w:rsidP="00823BD2">
      <w:pPr>
        <w:pStyle w:val="NormalWeb"/>
        <w:spacing w:before="0" w:beforeAutospacing="0" w:after="0" w:afterAutospacing="0" w:line="360" w:lineRule="auto"/>
        <w:ind w:left="3402"/>
        <w:jc w:val="both"/>
        <w:rPr>
          <w:sz w:val="20"/>
          <w:szCs w:val="20"/>
        </w:rPr>
      </w:pPr>
      <w:r w:rsidRPr="005E66A7">
        <w:rPr>
          <w:sz w:val="20"/>
          <w:szCs w:val="20"/>
        </w:rPr>
        <w:t xml:space="preserve">“É dispensável a licitação: para a contratação que envolva valores inferiores a R$ </w:t>
      </w:r>
      <w:r>
        <w:rPr>
          <w:sz w:val="20"/>
          <w:szCs w:val="20"/>
        </w:rPr>
        <w:t>5</w:t>
      </w:r>
      <w:r w:rsidRPr="005E66A7">
        <w:rPr>
          <w:sz w:val="20"/>
          <w:szCs w:val="20"/>
        </w:rPr>
        <w:t>0.000,00 (</w:t>
      </w:r>
      <w:r>
        <w:rPr>
          <w:sz w:val="20"/>
          <w:szCs w:val="20"/>
        </w:rPr>
        <w:t>cinquenta</w:t>
      </w:r>
      <w:r w:rsidRPr="005E66A7">
        <w:rPr>
          <w:sz w:val="20"/>
          <w:szCs w:val="20"/>
        </w:rPr>
        <w:t xml:space="preserve"> mil reais), no caso de outros serviços e </w:t>
      </w:r>
      <w:proofErr w:type="gramStart"/>
      <w:r w:rsidRPr="005E66A7">
        <w:rPr>
          <w:sz w:val="20"/>
          <w:szCs w:val="20"/>
        </w:rPr>
        <w:t>compras;”</w:t>
      </w:r>
      <w:proofErr w:type="gramEnd"/>
    </w:p>
    <w:p w:rsidR="00823BD2" w:rsidRPr="00584DD8" w:rsidRDefault="00823BD2" w:rsidP="00823BD2">
      <w:pPr>
        <w:pStyle w:val="Corpodetexto"/>
        <w:spacing w:before="253" w:line="360" w:lineRule="auto"/>
      </w:pPr>
    </w:p>
    <w:p w:rsidR="00823BD2" w:rsidRDefault="00823BD2" w:rsidP="00823BD2">
      <w:pPr>
        <w:pStyle w:val="Corpodetexto"/>
        <w:ind w:left="3402" w:hanging="2693"/>
        <w:rPr>
          <w:color w:val="000000"/>
        </w:rPr>
      </w:pPr>
      <w:r w:rsidRPr="00584DD8">
        <w:rPr>
          <w:color w:val="000000"/>
        </w:rPr>
        <w:t xml:space="preserve">Art. 75, inciso III, da Lei </w:t>
      </w:r>
      <w:r>
        <w:rPr>
          <w:color w:val="000000"/>
        </w:rPr>
        <w:t xml:space="preserve">nº </w:t>
      </w:r>
      <w:r w:rsidRPr="00584DD8">
        <w:rPr>
          <w:color w:val="000000"/>
        </w:rPr>
        <w:t>14.133/2021, é dispensável a licitação:</w:t>
      </w:r>
    </w:p>
    <w:p w:rsidR="00823BD2" w:rsidRPr="00584DD8" w:rsidRDefault="00823BD2" w:rsidP="00823BD2">
      <w:pPr>
        <w:pStyle w:val="Corpodetexto"/>
        <w:ind w:left="3402" w:hanging="2693"/>
        <w:rPr>
          <w:color w:val="000000"/>
        </w:rPr>
      </w:pPr>
    </w:p>
    <w:p w:rsidR="00823BD2" w:rsidRPr="00D62B99" w:rsidRDefault="00823BD2" w:rsidP="00823BD2">
      <w:pPr>
        <w:pStyle w:val="NormalWeb"/>
        <w:spacing w:before="0" w:beforeAutospacing="0" w:after="0" w:afterAutospacing="0"/>
        <w:ind w:left="3402"/>
        <w:jc w:val="both"/>
        <w:rPr>
          <w:color w:val="000000"/>
          <w:sz w:val="27"/>
          <w:szCs w:val="27"/>
        </w:rPr>
      </w:pPr>
      <w:r w:rsidRPr="00D62B99">
        <w:rPr>
          <w:color w:val="000000"/>
          <w:sz w:val="20"/>
          <w:szCs w:val="20"/>
        </w:rPr>
        <w:t>III - para contratação que mantenha todas as condições definidas em edital de licitação realizada há menos de 1 (um) ano, quando se verificar que naquela licitação:</w:t>
      </w:r>
    </w:p>
    <w:p w:rsidR="00823BD2" w:rsidRPr="00D62B99" w:rsidRDefault="00823BD2" w:rsidP="00823BD2">
      <w:pPr>
        <w:pStyle w:val="NormalWeb"/>
        <w:spacing w:before="0" w:beforeAutospacing="0" w:after="0" w:afterAutospacing="0"/>
        <w:ind w:left="3402"/>
        <w:jc w:val="both"/>
        <w:rPr>
          <w:color w:val="000000"/>
          <w:sz w:val="27"/>
          <w:szCs w:val="27"/>
        </w:rPr>
      </w:pPr>
      <w:bookmarkStart w:id="1" w:name="art75iiia"/>
      <w:bookmarkEnd w:id="1"/>
      <w:r w:rsidRPr="00D62B99">
        <w:rPr>
          <w:color w:val="000000"/>
          <w:sz w:val="20"/>
          <w:szCs w:val="20"/>
        </w:rPr>
        <w:t>a) não surgiram licitantes interessados ou não foram apresentadas propostas válidas;</w:t>
      </w:r>
    </w:p>
    <w:p w:rsidR="00823BD2" w:rsidRPr="00D62B99" w:rsidRDefault="00823BD2" w:rsidP="00823BD2">
      <w:pPr>
        <w:pStyle w:val="NormalWeb"/>
        <w:spacing w:before="0" w:beforeAutospacing="0" w:after="0" w:afterAutospacing="0"/>
        <w:ind w:left="3402"/>
        <w:jc w:val="both"/>
        <w:rPr>
          <w:color w:val="000000"/>
          <w:sz w:val="27"/>
          <w:szCs w:val="27"/>
        </w:rPr>
      </w:pPr>
      <w:bookmarkStart w:id="2" w:name="art75iiib"/>
      <w:bookmarkEnd w:id="2"/>
      <w:r w:rsidRPr="00D62B99">
        <w:rPr>
          <w:color w:val="000000"/>
          <w:sz w:val="20"/>
          <w:szCs w:val="20"/>
        </w:rPr>
        <w:t>b) as propostas apresentadas consignaram preços manifestamente superiores aos praticados no mercado ou incompatíveis com os fixados pelos órgãos oficiais competentes;</w:t>
      </w:r>
    </w:p>
    <w:p w:rsidR="00823BD2" w:rsidRDefault="00823BD2" w:rsidP="00823BD2">
      <w:pPr>
        <w:pStyle w:val="Corpodetexto"/>
        <w:spacing w:before="253" w:line="360" w:lineRule="auto"/>
      </w:pPr>
    </w:p>
    <w:p w:rsidR="00823BD2" w:rsidRDefault="00823BD2" w:rsidP="00823BD2">
      <w:pPr>
        <w:pStyle w:val="Corpodetexto"/>
        <w:spacing w:before="253" w:line="360" w:lineRule="auto"/>
        <w:ind w:firstLine="709"/>
      </w:pPr>
      <w:r>
        <w:t xml:space="preserve">“Registra-se que, foram lançados os processos licitatórios 151 e 63 e que os mesmos </w:t>
      </w:r>
      <w:r>
        <w:lastRenderedPageBreak/>
        <w:t>restaram como resultado a classificação de deserto”.</w:t>
      </w:r>
    </w:p>
    <w:p w:rsidR="00823BD2" w:rsidRPr="005E66A7" w:rsidRDefault="00823BD2" w:rsidP="00823BD2">
      <w:pPr>
        <w:pStyle w:val="NormalWeb"/>
        <w:spacing w:before="0" w:beforeAutospacing="0" w:after="0" w:afterAutospacing="0" w:line="360" w:lineRule="auto"/>
        <w:ind w:left="3402"/>
        <w:jc w:val="both"/>
        <w:rPr>
          <w:sz w:val="20"/>
          <w:szCs w:val="20"/>
        </w:rPr>
      </w:pPr>
    </w:p>
    <w:p w:rsidR="00823BD2" w:rsidRPr="008937B5" w:rsidRDefault="00823BD2" w:rsidP="00823BD2">
      <w:pPr>
        <w:rPr>
          <w:b/>
          <w:szCs w:val="24"/>
        </w:rPr>
      </w:pP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3" w:name="art6xxiiib"/>
      <w:bookmarkStart w:id="4" w:name="art6xxiiic"/>
      <w:bookmarkEnd w:id="3"/>
      <w:bookmarkEnd w:id="4"/>
      <w:r w:rsidRPr="008937B5">
        <w:rPr>
          <w:b/>
        </w:rPr>
        <w:t>III – Solução como um todo:</w:t>
      </w:r>
    </w:p>
    <w:p w:rsidR="00823BD2" w:rsidRPr="00E86966" w:rsidRDefault="00823BD2" w:rsidP="00823BD2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E86966">
        <w:t xml:space="preserve">A aquisição de água, gás P13 e gás P45 para todas as secretarias municipais é uma medida essencial para garantir o funcionamento adequado dos serviços públicos e o bem-estar dos servidores. </w:t>
      </w:r>
      <w:r w:rsidRPr="00E86966">
        <w:rPr>
          <w:rStyle w:val="Forte"/>
        </w:rPr>
        <w:t>As principais justificativas para essa aquisição são:</w:t>
      </w:r>
    </w:p>
    <w:p w:rsidR="00823BD2" w:rsidRPr="00E86966" w:rsidRDefault="00823BD2" w:rsidP="00823BD2">
      <w:pPr>
        <w:pStyle w:val="Ttulo3"/>
        <w:spacing w:before="0" w:line="360" w:lineRule="auto"/>
        <w:rPr>
          <w:rFonts w:ascii="Times New Roman" w:hAnsi="Times New Roman"/>
        </w:rPr>
      </w:pPr>
      <w:r w:rsidRPr="00E86966">
        <w:rPr>
          <w:rFonts w:ascii="Times New Roman" w:hAnsi="Times New Roman"/>
        </w:rPr>
        <w:t xml:space="preserve">1. </w:t>
      </w:r>
      <w:r w:rsidRPr="00E86966">
        <w:rPr>
          <w:rStyle w:val="Forte"/>
          <w:b w:val="0"/>
          <w:bCs w:val="0"/>
        </w:rPr>
        <w:t>Garantia da Continuidade dos Serviços Públicos:</w:t>
      </w:r>
    </w:p>
    <w:p w:rsidR="00823BD2" w:rsidRPr="00E86966" w:rsidRDefault="00823BD2" w:rsidP="00823BD2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Cs w:val="24"/>
        </w:rPr>
      </w:pPr>
      <w:r w:rsidRPr="00E86966">
        <w:rPr>
          <w:rStyle w:val="Forte"/>
          <w:szCs w:val="24"/>
        </w:rPr>
        <w:t>Higiene e segurança:</w:t>
      </w:r>
      <w:r w:rsidRPr="00E86966">
        <w:rPr>
          <w:szCs w:val="24"/>
        </w:rPr>
        <w:t xml:space="preserve"> A água potável é fundamental para garantir a higiene e a segurança alimentar, especialmente em locais como cozinhas e refeitórios. O gás é utilizado para cozinhar e aquecer, sendo essencial para o funcionamento de diversos serviços.</w:t>
      </w:r>
    </w:p>
    <w:p w:rsidR="00823BD2" w:rsidRPr="00E86966" w:rsidRDefault="00823BD2" w:rsidP="00823BD2">
      <w:pPr>
        <w:pStyle w:val="Ttulo3"/>
        <w:spacing w:before="0" w:line="360" w:lineRule="auto"/>
        <w:rPr>
          <w:rFonts w:ascii="Times New Roman" w:hAnsi="Times New Roman"/>
        </w:rPr>
      </w:pPr>
      <w:r w:rsidRPr="00E86966">
        <w:rPr>
          <w:rFonts w:ascii="Times New Roman" w:hAnsi="Times New Roman"/>
        </w:rPr>
        <w:t xml:space="preserve">2. </w:t>
      </w:r>
      <w:r w:rsidRPr="00E86966">
        <w:rPr>
          <w:rStyle w:val="Forte"/>
          <w:b w:val="0"/>
          <w:bCs w:val="0"/>
        </w:rPr>
        <w:t>Melhoria das Condições de Trabalho:</w:t>
      </w:r>
    </w:p>
    <w:p w:rsidR="00823BD2" w:rsidRPr="00E86966" w:rsidRDefault="00823BD2" w:rsidP="00823BD2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szCs w:val="24"/>
        </w:rPr>
      </w:pPr>
      <w:r w:rsidRPr="00E86966">
        <w:rPr>
          <w:rStyle w:val="Forte"/>
          <w:szCs w:val="24"/>
        </w:rPr>
        <w:t>Conforto e bem-estar dos servidores:</w:t>
      </w:r>
      <w:r w:rsidRPr="00E86966">
        <w:rPr>
          <w:szCs w:val="24"/>
        </w:rPr>
        <w:t xml:space="preserve"> O fornecimento de água potável e de gás para cozinhar contribui para um ambiente de trabalho mais confortável e agradável, aumentando a produtividade e a satisfação dos servidores.</w:t>
      </w:r>
    </w:p>
    <w:p w:rsidR="00823BD2" w:rsidRPr="00E86966" w:rsidRDefault="00823BD2" w:rsidP="00823BD2">
      <w:pPr>
        <w:pStyle w:val="Ttulo3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>3</w:t>
      </w:r>
      <w:r w:rsidRPr="00E86966">
        <w:rPr>
          <w:rFonts w:ascii="Times New Roman" w:hAnsi="Times New Roman"/>
        </w:rPr>
        <w:t xml:space="preserve">. </w:t>
      </w:r>
      <w:r w:rsidRPr="00E86966">
        <w:rPr>
          <w:rStyle w:val="Forte"/>
          <w:b w:val="0"/>
          <w:bCs w:val="0"/>
        </w:rPr>
        <w:t>Cumprimento de Normas e Regulamentações:</w:t>
      </w:r>
    </w:p>
    <w:p w:rsidR="00823BD2" w:rsidRPr="00E86966" w:rsidRDefault="00823BD2" w:rsidP="00823BD2">
      <w:pPr>
        <w:widowControl/>
        <w:numPr>
          <w:ilvl w:val="0"/>
          <w:numId w:val="7"/>
        </w:numPr>
        <w:autoSpaceDE/>
        <w:autoSpaceDN/>
        <w:spacing w:line="360" w:lineRule="auto"/>
        <w:rPr>
          <w:szCs w:val="24"/>
        </w:rPr>
      </w:pPr>
      <w:r w:rsidRPr="00E86966">
        <w:rPr>
          <w:rStyle w:val="Forte"/>
          <w:szCs w:val="24"/>
        </w:rPr>
        <w:t>Normas de segurança:</w:t>
      </w:r>
      <w:r w:rsidRPr="00E86966">
        <w:rPr>
          <w:szCs w:val="24"/>
        </w:rPr>
        <w:t xml:space="preserve"> A utilização de gás exige o cumprimento de normas de segurança para evitar acidentes.</w:t>
      </w:r>
    </w:p>
    <w:p w:rsidR="00823BD2" w:rsidRPr="00E86966" w:rsidRDefault="00823BD2" w:rsidP="00823BD2">
      <w:pPr>
        <w:pStyle w:val="Ttulo3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>4</w:t>
      </w:r>
      <w:r w:rsidRPr="00E86966">
        <w:rPr>
          <w:rFonts w:ascii="Times New Roman" w:hAnsi="Times New Roman"/>
        </w:rPr>
        <w:t xml:space="preserve">. </w:t>
      </w:r>
      <w:r w:rsidRPr="00E86966">
        <w:rPr>
          <w:rStyle w:val="Forte"/>
          <w:b w:val="0"/>
          <w:bCs w:val="0"/>
        </w:rPr>
        <w:t>Sustentabilidade:</w:t>
      </w:r>
    </w:p>
    <w:p w:rsidR="00823BD2" w:rsidRPr="00E86966" w:rsidRDefault="00823BD2" w:rsidP="00823BD2">
      <w:pPr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szCs w:val="24"/>
        </w:rPr>
      </w:pPr>
      <w:r w:rsidRPr="00E86966">
        <w:rPr>
          <w:rStyle w:val="Forte"/>
          <w:szCs w:val="24"/>
        </w:rPr>
        <w:t>Consumo consciente:</w:t>
      </w:r>
      <w:r w:rsidRPr="00E86966">
        <w:rPr>
          <w:szCs w:val="24"/>
        </w:rPr>
        <w:t xml:space="preserve"> A promoção do consumo consciente de água e gás contribui para a sustentabilidade do município.</w:t>
      </w:r>
    </w:p>
    <w:p w:rsidR="00823BD2" w:rsidRPr="00E86966" w:rsidRDefault="00823BD2" w:rsidP="00823BD2">
      <w:pPr>
        <w:pStyle w:val="NormalWeb"/>
        <w:spacing w:before="0" w:beforeAutospacing="0" w:after="0" w:afterAutospacing="0" w:line="360" w:lineRule="auto"/>
        <w:ind w:firstLine="360"/>
        <w:jc w:val="both"/>
        <w:rPr>
          <w:b/>
        </w:rPr>
      </w:pPr>
      <w:r w:rsidRPr="00E86966">
        <w:rPr>
          <w:rStyle w:val="Forte"/>
          <w:b w:val="0"/>
        </w:rPr>
        <w:t>Em resumo, a aquisição de água, gás P13 e gás P45 pela Prefeitura de Antônio Carlos/SC é uma medida essencial para garantir a qualidade dos serviços públicos, o bem-estar dos servidores e a sustentabilidade do município.</w:t>
      </w:r>
    </w:p>
    <w:p w:rsidR="00823BD2" w:rsidRPr="008937B5" w:rsidRDefault="00823BD2" w:rsidP="00823BD2">
      <w:pPr>
        <w:pStyle w:val="NormalWeb"/>
        <w:shd w:val="clear" w:color="auto" w:fill="FFFFFF"/>
        <w:spacing w:after="300" w:line="360" w:lineRule="auto"/>
        <w:jc w:val="both"/>
      </w:pP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IV – Requisitos da contratação: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8937B5">
        <w:t>Poderão participar do certame as empresas interessadas que se enquadrem no ramo pertinente ao objeto desta dispensa, que atenderem inclusive quanto à documentação, a todas as exigências deste termo de referência.</w:t>
      </w:r>
    </w:p>
    <w:p w:rsidR="00823BD2" w:rsidRDefault="00823BD2" w:rsidP="00823BD2">
      <w:pPr>
        <w:pStyle w:val="Corpodetexto"/>
        <w:spacing w:before="102" w:line="360" w:lineRule="auto"/>
        <w:ind w:right="-1" w:firstLine="709"/>
      </w:pPr>
      <w:r w:rsidRPr="008937B5">
        <w:t>A empresa contratada deverá atender a todas as exigências de habilitação jurídica, fiscal, social e trabalhistas constantes na Lei 14.133/2021, devendo ter um padrão mínimo de excelência e qualidade, prestando um bom atendimento com os servidores da municipalidade.</w:t>
      </w:r>
    </w:p>
    <w:p w:rsidR="00823BD2" w:rsidRPr="008937B5" w:rsidRDefault="00823BD2" w:rsidP="00823BD2">
      <w:pPr>
        <w:pStyle w:val="Corpodetexto"/>
        <w:spacing w:before="102" w:line="360" w:lineRule="auto"/>
        <w:ind w:right="-1" w:firstLine="709"/>
      </w:pPr>
    </w:p>
    <w:p w:rsidR="00823BD2" w:rsidRPr="008937B5" w:rsidRDefault="00823BD2" w:rsidP="00823BD2">
      <w:pPr>
        <w:pStyle w:val="Corpodetexto"/>
        <w:spacing w:line="207" w:lineRule="exact"/>
      </w:pP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5" w:name="art6xxiiie"/>
      <w:bookmarkEnd w:id="5"/>
      <w:r w:rsidRPr="008937B5">
        <w:rPr>
          <w:b/>
        </w:rPr>
        <w:t>V – Modelo de execução do objeto: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8937B5">
        <w:t xml:space="preserve">Após a solicitação por meio de documento oficial emitido pela Secretaria de Administração e Finanças, a empresa deverá </w:t>
      </w:r>
      <w:r>
        <w:t>entregar os materiais</w:t>
      </w:r>
      <w:r w:rsidRPr="008937B5">
        <w:t xml:space="preserve"> no prazo máximo </w:t>
      </w:r>
      <w:r w:rsidRPr="007906AA">
        <w:t>de 24 horas</w:t>
      </w:r>
      <w:r w:rsidRPr="008937B5">
        <w:t xml:space="preserve"> a contar da </w:t>
      </w:r>
      <w:r>
        <w:t>e</w:t>
      </w:r>
      <w:r w:rsidRPr="008937B5">
        <w:t xml:space="preserve">missão do referido documento. 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both"/>
      </w:pP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6" w:name="art6xxiiif"/>
      <w:bookmarkEnd w:id="6"/>
      <w:r w:rsidRPr="008937B5">
        <w:rPr>
          <w:b/>
        </w:rPr>
        <w:t>VI – Modelo de gestão do contrato: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ind w:right="668" w:firstLine="709"/>
        <w:jc w:val="both"/>
      </w:pPr>
      <w:r w:rsidRPr="008937B5">
        <w:t>Para este objeto específico</w:t>
      </w:r>
      <w:r>
        <w:t>,</w:t>
      </w:r>
      <w:r w:rsidRPr="008937B5">
        <w:t xml:space="preserve"> não caberá a emissão de instrumento de contrato</w:t>
      </w:r>
      <w:r>
        <w:t>, sendo o mesmo substituído pela Nota de E</w:t>
      </w:r>
      <w:r w:rsidRPr="008937B5">
        <w:t>mpenho.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ind w:right="668" w:firstLine="709"/>
        <w:jc w:val="both"/>
      </w:pPr>
      <w:r>
        <w:t>A</w:t>
      </w:r>
      <w:r w:rsidRPr="008937B5">
        <w:t xml:space="preserve"> fiscal do contrato será </w:t>
      </w:r>
      <w:r>
        <w:t>a</w:t>
      </w:r>
      <w:r w:rsidRPr="008937B5">
        <w:t xml:space="preserve"> servidor</w:t>
      </w:r>
      <w:r>
        <w:t xml:space="preserve">a </w:t>
      </w:r>
      <w:proofErr w:type="spellStart"/>
      <w:r>
        <w:t>Indianara</w:t>
      </w:r>
      <w:proofErr w:type="spellEnd"/>
      <w:r>
        <w:t xml:space="preserve"> Maximiano</w:t>
      </w:r>
      <w:r w:rsidRPr="008937B5">
        <w:t>.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7" w:name="art6xxiiig"/>
      <w:bookmarkEnd w:id="7"/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V</w:t>
      </w:r>
      <w:r>
        <w:rPr>
          <w:b/>
        </w:rPr>
        <w:t>II</w:t>
      </w:r>
      <w:r w:rsidRPr="008937B5">
        <w:rPr>
          <w:b/>
        </w:rPr>
        <w:t xml:space="preserve"> - Critérios De Medição </w:t>
      </w:r>
      <w:r>
        <w:rPr>
          <w:b/>
        </w:rPr>
        <w:t>e de</w:t>
      </w:r>
      <w:r w:rsidRPr="008937B5">
        <w:rPr>
          <w:b/>
        </w:rPr>
        <w:t xml:space="preserve"> Pagamento: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eastAsia="Arial"/>
        </w:rPr>
      </w:pPr>
      <w:r w:rsidRPr="008937B5">
        <w:rPr>
          <w:rFonts w:eastAsia="Arial"/>
        </w:rPr>
        <w:t xml:space="preserve">O pagamento será efetuado em </w:t>
      </w:r>
      <w:r w:rsidRPr="00B11266">
        <w:rPr>
          <w:rFonts w:eastAsia="Arial"/>
        </w:rPr>
        <w:t>até 15 (quinze)</w:t>
      </w:r>
      <w:r w:rsidRPr="00137E01">
        <w:rPr>
          <w:rFonts w:eastAsia="Arial"/>
          <w:color w:val="FF0000"/>
        </w:rPr>
        <w:t xml:space="preserve"> </w:t>
      </w:r>
      <w:r w:rsidRPr="008937B5">
        <w:rPr>
          <w:rFonts w:eastAsia="Arial"/>
        </w:rPr>
        <w:t>dias contados a partir da data da entrega efetiva do serviço, sendo que a mesma deverá estar acompanhada da respectiva Nota Fiscal Eletrônica, com o aceite da Secretaria solicitante, através de seu titular.</w:t>
      </w:r>
    </w:p>
    <w:p w:rsidR="00823BD2" w:rsidRPr="008937B5" w:rsidRDefault="00823BD2" w:rsidP="00823BD2">
      <w:pPr>
        <w:pStyle w:val="NormalWeb"/>
        <w:spacing w:before="225" w:after="225" w:line="360" w:lineRule="auto"/>
        <w:ind w:firstLine="709"/>
        <w:jc w:val="both"/>
        <w:rPr>
          <w:b/>
        </w:rPr>
      </w:pPr>
      <w:bookmarkStart w:id="8" w:name="art6xxiiih"/>
      <w:bookmarkEnd w:id="8"/>
      <w:r w:rsidRPr="008937B5">
        <w:rPr>
          <w:rFonts w:eastAsia="Arial"/>
        </w:rPr>
        <w:t>A nota</w:t>
      </w:r>
      <w:r w:rsidRPr="008937B5">
        <w:rPr>
          <w:rFonts w:eastAsia="Arial"/>
        </w:rPr>
        <w:tab/>
        <w:t xml:space="preserve"> fiscal não aprovada será devolvida para as necessárias correções, com as informações que motivaram sua rejeição, contando-se o prazo estabelecido neste termo de referência, a partir da data de sua reapresentação</w:t>
      </w:r>
      <w:r w:rsidRPr="008937B5">
        <w:rPr>
          <w:color w:val="000000"/>
        </w:rPr>
        <w:t>.</w:t>
      </w:r>
    </w:p>
    <w:p w:rsidR="00823BD2" w:rsidRPr="008937B5" w:rsidRDefault="00823BD2" w:rsidP="00823BD2">
      <w:pPr>
        <w:pStyle w:val="NormalWeb"/>
        <w:spacing w:before="225" w:after="225" w:line="360" w:lineRule="auto"/>
        <w:jc w:val="both"/>
        <w:rPr>
          <w:b/>
        </w:rPr>
      </w:pPr>
      <w:r w:rsidRPr="008937B5">
        <w:rPr>
          <w:b/>
        </w:rPr>
        <w:t xml:space="preserve">VIII - Forma </w:t>
      </w:r>
      <w:r>
        <w:rPr>
          <w:b/>
        </w:rPr>
        <w:t>e</w:t>
      </w:r>
      <w:r w:rsidRPr="008937B5">
        <w:rPr>
          <w:b/>
        </w:rPr>
        <w:t xml:space="preserve"> Critérios </w:t>
      </w:r>
      <w:r>
        <w:rPr>
          <w:b/>
        </w:rPr>
        <w:t>d</w:t>
      </w:r>
      <w:r w:rsidRPr="008937B5">
        <w:rPr>
          <w:b/>
        </w:rPr>
        <w:t xml:space="preserve">e Seleção </w:t>
      </w:r>
      <w:r>
        <w:rPr>
          <w:b/>
        </w:rPr>
        <w:t>d</w:t>
      </w:r>
      <w:r w:rsidRPr="008937B5">
        <w:rPr>
          <w:b/>
        </w:rPr>
        <w:t>o Fornecedor:</w:t>
      </w:r>
      <w:bookmarkStart w:id="9" w:name="art6xxiii.i"/>
      <w:bookmarkEnd w:id="9"/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 xml:space="preserve">A empresa a ser contratada deverá apresentar os seguintes documentos: 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Cartão CNPJ;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Municipal (sede da empresa) de Débitos;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Estadual (sede da empresa) de Débitos;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Federal de Débitos;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CRF do FGTS;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de Débitos Trabalhistas (CNDT);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ind w:right="668" w:firstLine="709"/>
        <w:jc w:val="both"/>
        <w:rPr>
          <w:b/>
        </w:rPr>
      </w:pPr>
      <w:r w:rsidRPr="008937B5">
        <w:t xml:space="preserve">Será empregado o critério de </w:t>
      </w:r>
      <w:r w:rsidRPr="0031714C">
        <w:rPr>
          <w:b/>
        </w:rPr>
        <w:t>menor preço</w:t>
      </w:r>
      <w:r w:rsidRPr="008937B5">
        <w:t xml:space="preserve"> </w:t>
      </w:r>
      <w:r w:rsidRPr="0031714C">
        <w:rPr>
          <w:b/>
        </w:rPr>
        <w:t>global</w:t>
      </w:r>
      <w:r>
        <w:t xml:space="preserve"> </w:t>
      </w:r>
      <w:r w:rsidRPr="008937B5">
        <w:t>para a escolha da empresa ganhadora.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IX – Estimativas do valor da contratação:</w:t>
      </w:r>
    </w:p>
    <w:p w:rsidR="00823BD2" w:rsidRPr="0031714C" w:rsidRDefault="00823BD2" w:rsidP="00823BD2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1714C">
        <w:lastRenderedPageBreak/>
        <w:t>Os valores referenciais</w:t>
      </w:r>
      <w:r>
        <w:t xml:space="preserve"> para efetivar o processo de contratação, estarão previstos no documento “Pesquisa de preços”, anexo a este Termo de Referência.</w:t>
      </w:r>
    </w:p>
    <w:p w:rsidR="00823BD2" w:rsidRPr="008937B5" w:rsidRDefault="00823BD2" w:rsidP="00823BD2">
      <w:pPr>
        <w:spacing w:line="360" w:lineRule="auto"/>
        <w:rPr>
          <w:rFonts w:eastAsia="Calibri"/>
          <w:szCs w:val="24"/>
        </w:rPr>
      </w:pPr>
    </w:p>
    <w:p w:rsidR="00823BD2" w:rsidRPr="008937B5" w:rsidRDefault="00823BD2" w:rsidP="00823BD2">
      <w:pPr>
        <w:pStyle w:val="NormalWeb"/>
        <w:spacing w:before="0" w:beforeAutospacing="0" w:after="0" w:afterAutospacing="0"/>
        <w:jc w:val="both"/>
      </w:pPr>
      <w:bookmarkStart w:id="10" w:name="art6xxiiij"/>
      <w:bookmarkEnd w:id="10"/>
    </w:p>
    <w:p w:rsidR="00823BD2" w:rsidRPr="008937B5" w:rsidRDefault="00823BD2" w:rsidP="00823BD2">
      <w:pPr>
        <w:pStyle w:val="NormalWeb"/>
        <w:spacing w:before="0" w:beforeAutospacing="0" w:after="0" w:afterAutospacing="0"/>
        <w:jc w:val="both"/>
        <w:rPr>
          <w:b/>
        </w:rPr>
      </w:pPr>
      <w:r w:rsidRPr="008937B5">
        <w:rPr>
          <w:b/>
        </w:rPr>
        <w:t>X - Adequação Orçamentária:</w:t>
      </w:r>
    </w:p>
    <w:p w:rsidR="00823BD2" w:rsidRPr="008937B5" w:rsidRDefault="00823BD2" w:rsidP="00823BD2">
      <w:pPr>
        <w:pStyle w:val="NormalWeb"/>
        <w:spacing w:before="0" w:beforeAutospacing="0" w:after="0" w:afterAutospacing="0"/>
        <w:jc w:val="both"/>
        <w:rPr>
          <w:b/>
        </w:rPr>
      </w:pPr>
    </w:p>
    <w:p w:rsidR="00823BD2" w:rsidRPr="00462B7A" w:rsidRDefault="00823BD2" w:rsidP="00823BD2">
      <w:r w:rsidRPr="00462B7A">
        <w:rPr>
          <w:b/>
          <w:bCs/>
        </w:rPr>
        <w:t>Órgão</w:t>
      </w:r>
      <w:r w:rsidRPr="00462B7A">
        <w:t>: 04 - Secretaria de Educação e Cultura</w:t>
      </w:r>
    </w:p>
    <w:p w:rsidR="00823BD2" w:rsidRPr="00462B7A" w:rsidRDefault="00823BD2" w:rsidP="00823BD2">
      <w:r w:rsidRPr="00462B7A">
        <w:rPr>
          <w:b/>
          <w:bCs/>
        </w:rPr>
        <w:t>Unidade</w:t>
      </w:r>
      <w:r w:rsidRPr="00462B7A">
        <w:t>: 02 – Fundo Municipal de Desenvolvimento da Educação Básica</w:t>
      </w:r>
    </w:p>
    <w:p w:rsidR="00823BD2" w:rsidRPr="00462B7A" w:rsidRDefault="00823BD2" w:rsidP="00823BD2">
      <w:r w:rsidRPr="00462B7A">
        <w:rPr>
          <w:b/>
          <w:bCs/>
        </w:rPr>
        <w:t>Projeto/Atividade</w:t>
      </w:r>
      <w:r w:rsidRPr="00462B7A">
        <w:t>: 2.001 – Manutenção das Atividades de Apoio administrativo - Educação</w:t>
      </w:r>
    </w:p>
    <w:p w:rsidR="00823BD2" w:rsidRPr="00462B7A" w:rsidRDefault="00823BD2" w:rsidP="00823BD2">
      <w:r w:rsidRPr="00462B7A">
        <w:rPr>
          <w:b/>
          <w:bCs/>
        </w:rPr>
        <w:t>Despesa:</w:t>
      </w:r>
      <w:r w:rsidRPr="00462B7A">
        <w:t>  46– 3.3.90.00.00.00.00.00.01.500.1001</w:t>
      </w:r>
    </w:p>
    <w:p w:rsidR="00823BD2" w:rsidRPr="00462B7A" w:rsidRDefault="00823BD2" w:rsidP="00823BD2"/>
    <w:p w:rsidR="00823BD2" w:rsidRPr="00462B7A" w:rsidRDefault="00823BD2" w:rsidP="00823BD2">
      <w:r w:rsidRPr="00462B7A">
        <w:rPr>
          <w:b/>
          <w:bCs/>
        </w:rPr>
        <w:t>Órgão</w:t>
      </w:r>
      <w:r w:rsidRPr="00462B7A">
        <w:t>: 04 - Secretaria de Educação e Cultura</w:t>
      </w:r>
    </w:p>
    <w:p w:rsidR="00823BD2" w:rsidRPr="00462B7A" w:rsidRDefault="00823BD2" w:rsidP="00823BD2">
      <w:r w:rsidRPr="00462B7A">
        <w:rPr>
          <w:b/>
          <w:bCs/>
        </w:rPr>
        <w:t>Unidade</w:t>
      </w:r>
      <w:r w:rsidRPr="00462B7A">
        <w:t>: 02 – Fundo Municipal de Desenvolvimento da Educação Básica</w:t>
      </w:r>
    </w:p>
    <w:p w:rsidR="00823BD2" w:rsidRPr="00462B7A" w:rsidRDefault="00823BD2" w:rsidP="00823BD2">
      <w:r w:rsidRPr="00462B7A">
        <w:rPr>
          <w:b/>
          <w:bCs/>
        </w:rPr>
        <w:t>Projeto/Atividade</w:t>
      </w:r>
      <w:r w:rsidRPr="00462B7A">
        <w:t>: 2.002 – Manutenção do Ensino Fundamental</w:t>
      </w:r>
    </w:p>
    <w:p w:rsidR="00823BD2" w:rsidRPr="00462B7A" w:rsidRDefault="00823BD2" w:rsidP="00823BD2">
      <w:r w:rsidRPr="00462B7A">
        <w:rPr>
          <w:b/>
          <w:bCs/>
        </w:rPr>
        <w:t>Despesa:</w:t>
      </w:r>
      <w:r w:rsidRPr="00462B7A">
        <w:t>  57– 3.3.90.00.00.00.00.00.01.500.1001</w:t>
      </w:r>
    </w:p>
    <w:p w:rsidR="00823BD2" w:rsidRPr="00462B7A" w:rsidRDefault="00823BD2" w:rsidP="00823BD2"/>
    <w:p w:rsidR="00823BD2" w:rsidRPr="00462B7A" w:rsidRDefault="00823BD2" w:rsidP="00823BD2">
      <w:r w:rsidRPr="00462B7A">
        <w:rPr>
          <w:b/>
          <w:bCs/>
        </w:rPr>
        <w:t>Órgão</w:t>
      </w:r>
      <w:r w:rsidRPr="00462B7A">
        <w:t>: 04 - Secretaria de Educação e Cultura</w:t>
      </w:r>
    </w:p>
    <w:p w:rsidR="00823BD2" w:rsidRPr="00462B7A" w:rsidRDefault="00823BD2" w:rsidP="00823BD2">
      <w:r w:rsidRPr="00462B7A">
        <w:rPr>
          <w:b/>
          <w:bCs/>
        </w:rPr>
        <w:t>Unidade</w:t>
      </w:r>
      <w:r w:rsidRPr="00462B7A">
        <w:t>: 02 – Fundo Municipal de Desenvolvimento da Educação Básica</w:t>
      </w:r>
    </w:p>
    <w:p w:rsidR="00823BD2" w:rsidRPr="00462B7A" w:rsidRDefault="00823BD2" w:rsidP="00823BD2">
      <w:r w:rsidRPr="00462B7A">
        <w:rPr>
          <w:b/>
          <w:bCs/>
        </w:rPr>
        <w:t>Projeto/Atividade</w:t>
      </w:r>
      <w:r w:rsidRPr="00462B7A">
        <w:t>: 2.003 – Manutenção do Ensino Infantil - creche</w:t>
      </w:r>
    </w:p>
    <w:p w:rsidR="00823BD2" w:rsidRPr="00462B7A" w:rsidRDefault="00823BD2" w:rsidP="00823BD2">
      <w:r w:rsidRPr="00462B7A">
        <w:rPr>
          <w:b/>
          <w:bCs/>
        </w:rPr>
        <w:t>Despesa:</w:t>
      </w:r>
      <w:r w:rsidRPr="00462B7A">
        <w:t>  77– 3.3.90.00.00.00.00.00.01.500.1001</w:t>
      </w:r>
    </w:p>
    <w:p w:rsidR="00823BD2" w:rsidRPr="00462B7A" w:rsidRDefault="00823BD2" w:rsidP="00823BD2"/>
    <w:p w:rsidR="00823BD2" w:rsidRPr="00462B7A" w:rsidRDefault="00823BD2" w:rsidP="00823BD2">
      <w:r w:rsidRPr="00462B7A">
        <w:rPr>
          <w:b/>
          <w:bCs/>
        </w:rPr>
        <w:t>Órgão</w:t>
      </w:r>
      <w:r w:rsidRPr="00462B7A">
        <w:t>: 04 - Secretaria de Educação e Cultura</w:t>
      </w:r>
    </w:p>
    <w:p w:rsidR="00823BD2" w:rsidRPr="00462B7A" w:rsidRDefault="00823BD2" w:rsidP="00823BD2">
      <w:r w:rsidRPr="00462B7A">
        <w:rPr>
          <w:b/>
          <w:bCs/>
        </w:rPr>
        <w:t>Unidade</w:t>
      </w:r>
      <w:r w:rsidRPr="00462B7A">
        <w:t>: 02 – Fundo Municipal de Desenvolvimento da Educação Básica</w:t>
      </w:r>
    </w:p>
    <w:p w:rsidR="00823BD2" w:rsidRPr="00462B7A" w:rsidRDefault="00823BD2" w:rsidP="00823BD2">
      <w:r w:rsidRPr="00462B7A">
        <w:rPr>
          <w:b/>
          <w:bCs/>
        </w:rPr>
        <w:t>Projeto/Atividade</w:t>
      </w:r>
      <w:r w:rsidRPr="00462B7A">
        <w:t>: 2.004 – Manutenção do Ensino Infantil – Pré escola</w:t>
      </w:r>
    </w:p>
    <w:p w:rsidR="00823BD2" w:rsidRPr="00462B7A" w:rsidRDefault="00823BD2" w:rsidP="00823BD2">
      <w:r w:rsidRPr="00462B7A">
        <w:rPr>
          <w:b/>
          <w:bCs/>
        </w:rPr>
        <w:t>Despesa:</w:t>
      </w:r>
      <w:r w:rsidRPr="00462B7A">
        <w:t>  87– 3.3.90.00.00.00.00.00.01.500.1001</w:t>
      </w:r>
    </w:p>
    <w:p w:rsidR="00823BD2" w:rsidRPr="00462B7A" w:rsidRDefault="00823BD2" w:rsidP="00823BD2"/>
    <w:p w:rsidR="00823BD2" w:rsidRPr="00462B7A" w:rsidRDefault="00823BD2" w:rsidP="00823BD2">
      <w:r w:rsidRPr="00462B7A">
        <w:rPr>
          <w:b/>
          <w:bCs/>
        </w:rPr>
        <w:t>Órgão</w:t>
      </w:r>
      <w:r w:rsidRPr="00462B7A">
        <w:t>: 02 – Gabinete do Chefe do Poder Executivo</w:t>
      </w:r>
    </w:p>
    <w:p w:rsidR="00823BD2" w:rsidRPr="00462B7A" w:rsidRDefault="00823BD2" w:rsidP="00823BD2">
      <w:r w:rsidRPr="00462B7A">
        <w:rPr>
          <w:b/>
          <w:bCs/>
        </w:rPr>
        <w:t>Unidade</w:t>
      </w:r>
      <w:r w:rsidRPr="00462B7A">
        <w:t>: 01 – Gabinete do Chefe do Poder Executivo</w:t>
      </w:r>
    </w:p>
    <w:p w:rsidR="00823BD2" w:rsidRPr="00462B7A" w:rsidRDefault="00823BD2" w:rsidP="00823BD2">
      <w:r w:rsidRPr="00462B7A">
        <w:rPr>
          <w:b/>
          <w:bCs/>
        </w:rPr>
        <w:t>Projeto/Atividade</w:t>
      </w:r>
      <w:r w:rsidRPr="00462B7A">
        <w:t>: 2.017 – Manutenção do Gabinete do Prefeito</w:t>
      </w:r>
    </w:p>
    <w:p w:rsidR="00823BD2" w:rsidRPr="00462B7A" w:rsidRDefault="00823BD2" w:rsidP="00823BD2">
      <w:r w:rsidRPr="00462B7A">
        <w:rPr>
          <w:b/>
          <w:bCs/>
        </w:rPr>
        <w:t>Despesa:</w:t>
      </w:r>
      <w:r w:rsidRPr="00462B7A">
        <w:t>  4– 3.3.90.00.00.00.00.00.01.0500</w:t>
      </w:r>
    </w:p>
    <w:p w:rsidR="00823BD2" w:rsidRPr="00462B7A" w:rsidRDefault="00823BD2" w:rsidP="00823BD2"/>
    <w:p w:rsidR="00823BD2" w:rsidRPr="00462B7A" w:rsidRDefault="00823BD2" w:rsidP="00823BD2">
      <w:r w:rsidRPr="00462B7A">
        <w:rPr>
          <w:b/>
          <w:bCs/>
        </w:rPr>
        <w:t>Órgão</w:t>
      </w:r>
      <w:r w:rsidRPr="00462B7A">
        <w:t>: 03 – Secretaria de Administração e Finanças</w:t>
      </w:r>
    </w:p>
    <w:p w:rsidR="00823BD2" w:rsidRPr="00462B7A" w:rsidRDefault="00823BD2" w:rsidP="00823BD2">
      <w:r w:rsidRPr="00462B7A">
        <w:rPr>
          <w:b/>
          <w:bCs/>
        </w:rPr>
        <w:t>Unidade</w:t>
      </w:r>
      <w:r w:rsidRPr="00462B7A">
        <w:t>: 01 – Secretaria de Administração e Finanças</w:t>
      </w:r>
    </w:p>
    <w:p w:rsidR="00823BD2" w:rsidRPr="00462B7A" w:rsidRDefault="00823BD2" w:rsidP="00823BD2">
      <w:r w:rsidRPr="00462B7A">
        <w:rPr>
          <w:b/>
          <w:bCs/>
        </w:rPr>
        <w:t>Projeto/Atividade</w:t>
      </w:r>
      <w:r w:rsidRPr="00462B7A">
        <w:t>: 2.020 – Manutenção da Secretaria de Administração e Finanças</w:t>
      </w:r>
    </w:p>
    <w:p w:rsidR="00823BD2" w:rsidRPr="00462B7A" w:rsidRDefault="00823BD2" w:rsidP="00823BD2">
      <w:r w:rsidRPr="00462B7A">
        <w:rPr>
          <w:b/>
          <w:bCs/>
        </w:rPr>
        <w:t>Despesa:</w:t>
      </w:r>
      <w:r w:rsidRPr="00462B7A">
        <w:t>  21– 3.3.90.00.00.00.00.00.01.0500</w:t>
      </w:r>
    </w:p>
    <w:p w:rsidR="00823BD2" w:rsidRPr="00462B7A" w:rsidRDefault="00823BD2" w:rsidP="00823BD2"/>
    <w:p w:rsidR="00823BD2" w:rsidRPr="00462B7A" w:rsidRDefault="00823BD2" w:rsidP="00823BD2">
      <w:r w:rsidRPr="00462B7A">
        <w:rPr>
          <w:b/>
          <w:bCs/>
        </w:rPr>
        <w:t>Órgão</w:t>
      </w:r>
      <w:r w:rsidRPr="00462B7A">
        <w:t>: 07 – Secretaria de Agricultura e Meio Ambiente</w:t>
      </w:r>
    </w:p>
    <w:p w:rsidR="00823BD2" w:rsidRPr="00462B7A" w:rsidRDefault="00823BD2" w:rsidP="00823BD2">
      <w:r w:rsidRPr="00462B7A">
        <w:rPr>
          <w:b/>
          <w:bCs/>
        </w:rPr>
        <w:t>Unidade</w:t>
      </w:r>
      <w:r w:rsidRPr="00462B7A">
        <w:t>: 02 – Fundo Municipal da Agricultura e Meio Ambiente</w:t>
      </w:r>
    </w:p>
    <w:p w:rsidR="00823BD2" w:rsidRPr="00462B7A" w:rsidRDefault="00823BD2" w:rsidP="00823BD2">
      <w:r w:rsidRPr="00462B7A">
        <w:rPr>
          <w:b/>
          <w:bCs/>
        </w:rPr>
        <w:t>Projeto/Atividade</w:t>
      </w:r>
      <w:r w:rsidRPr="00462B7A">
        <w:t>: 2.036 – Manutenção da Secretaria de Agricultura</w:t>
      </w:r>
    </w:p>
    <w:p w:rsidR="00823BD2" w:rsidRPr="00462B7A" w:rsidRDefault="00823BD2" w:rsidP="00823BD2">
      <w:r w:rsidRPr="00462B7A">
        <w:rPr>
          <w:b/>
          <w:bCs/>
        </w:rPr>
        <w:t>Despesa</w:t>
      </w:r>
      <w:r w:rsidRPr="00462B7A">
        <w:t>:  231– 3.3.90.00.00.00.00.00.01.500.7000</w:t>
      </w:r>
    </w:p>
    <w:p w:rsidR="00823BD2" w:rsidRPr="00462B7A" w:rsidRDefault="00823BD2" w:rsidP="00823BD2"/>
    <w:p w:rsidR="00823BD2" w:rsidRPr="00462B7A" w:rsidRDefault="00823BD2" w:rsidP="00823BD2">
      <w:pPr>
        <w:rPr>
          <w:b/>
          <w:bCs/>
        </w:rPr>
      </w:pPr>
      <w:r w:rsidRPr="00462B7A">
        <w:rPr>
          <w:b/>
          <w:bCs/>
        </w:rPr>
        <w:t xml:space="preserve">Órgão: </w:t>
      </w:r>
      <w:r w:rsidRPr="00462B7A">
        <w:t>06 – Secretária de Obras, Transportes e Serviços Públicos</w:t>
      </w:r>
      <w:r w:rsidRPr="00462B7A">
        <w:rPr>
          <w:b/>
          <w:bCs/>
        </w:rPr>
        <w:t xml:space="preserve"> </w:t>
      </w:r>
    </w:p>
    <w:p w:rsidR="00823BD2" w:rsidRPr="00462B7A" w:rsidRDefault="00823BD2" w:rsidP="00823BD2">
      <w:pPr>
        <w:rPr>
          <w:b/>
          <w:bCs/>
        </w:rPr>
      </w:pPr>
      <w:r w:rsidRPr="00462B7A">
        <w:rPr>
          <w:b/>
          <w:bCs/>
        </w:rPr>
        <w:t xml:space="preserve">Unidade: </w:t>
      </w:r>
      <w:r w:rsidRPr="00462B7A">
        <w:t>01 - Secretária de Obras, Transportes e Serviços</w:t>
      </w:r>
      <w:r w:rsidRPr="00462B7A">
        <w:rPr>
          <w:b/>
          <w:bCs/>
        </w:rPr>
        <w:t xml:space="preserve"> </w:t>
      </w:r>
    </w:p>
    <w:p w:rsidR="00823BD2" w:rsidRPr="00462B7A" w:rsidRDefault="00823BD2" w:rsidP="00823BD2">
      <w:r w:rsidRPr="00462B7A">
        <w:rPr>
          <w:b/>
          <w:bCs/>
        </w:rPr>
        <w:t xml:space="preserve">Projeto/Atividade: </w:t>
      </w:r>
      <w:r w:rsidRPr="00462B7A">
        <w:t>2.029 – Manutenção da Secretaria de Obras, Transportes e Serviços Públicos</w:t>
      </w:r>
    </w:p>
    <w:p w:rsidR="00823BD2" w:rsidRPr="00462B7A" w:rsidRDefault="00823BD2" w:rsidP="00823BD2">
      <w:r w:rsidRPr="00462B7A">
        <w:rPr>
          <w:b/>
          <w:bCs/>
        </w:rPr>
        <w:t xml:space="preserve">Despesa: </w:t>
      </w:r>
      <w:r w:rsidRPr="00462B7A">
        <w:t>199 - 3.3.90.00.00.00.00.00.0.1.0500.7000</w:t>
      </w:r>
    </w:p>
    <w:p w:rsidR="00823BD2" w:rsidRPr="00462B7A" w:rsidRDefault="00823BD2" w:rsidP="00823BD2"/>
    <w:p w:rsidR="00823BD2" w:rsidRPr="00462B7A" w:rsidRDefault="00823BD2" w:rsidP="00823BD2">
      <w:r w:rsidRPr="00462B7A">
        <w:rPr>
          <w:b/>
          <w:bCs/>
        </w:rPr>
        <w:t>Órgão</w:t>
      </w:r>
      <w:r w:rsidRPr="00462B7A">
        <w:t>: 11 – Fundo Municipal de Saúde</w:t>
      </w:r>
    </w:p>
    <w:p w:rsidR="00823BD2" w:rsidRPr="00462B7A" w:rsidRDefault="00823BD2" w:rsidP="00823BD2">
      <w:r w:rsidRPr="00462B7A">
        <w:rPr>
          <w:b/>
          <w:bCs/>
        </w:rPr>
        <w:t>Unidade</w:t>
      </w:r>
      <w:r w:rsidRPr="00462B7A">
        <w:t>: 01 – Fundo Municipal de Saúde</w:t>
      </w:r>
    </w:p>
    <w:p w:rsidR="00823BD2" w:rsidRPr="00462B7A" w:rsidRDefault="00823BD2" w:rsidP="00823BD2">
      <w:r w:rsidRPr="00462B7A">
        <w:rPr>
          <w:b/>
          <w:bCs/>
        </w:rPr>
        <w:t>Projeto/Atividade</w:t>
      </w:r>
      <w:r w:rsidRPr="00462B7A">
        <w:t>: 2.047 – Administração Geral da Saúde</w:t>
      </w:r>
    </w:p>
    <w:p w:rsidR="00823BD2" w:rsidRPr="00462B7A" w:rsidRDefault="00823BD2" w:rsidP="00823BD2">
      <w:r w:rsidRPr="00462B7A">
        <w:rPr>
          <w:b/>
          <w:bCs/>
        </w:rPr>
        <w:t>Despesa:</w:t>
      </w:r>
      <w:r w:rsidRPr="00462B7A">
        <w:t>  10– 3.3.90.00.00.00.00.00.01.500.1002</w:t>
      </w:r>
    </w:p>
    <w:p w:rsidR="00823BD2" w:rsidRDefault="00823BD2" w:rsidP="00823BD2"/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both"/>
        <w:rPr>
          <w:color w:val="FF0000"/>
        </w:rPr>
      </w:pP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lastRenderedPageBreak/>
        <w:t xml:space="preserve">XI – Especificação do </w:t>
      </w:r>
      <w:r>
        <w:rPr>
          <w:b/>
        </w:rPr>
        <w:t>P</w:t>
      </w:r>
      <w:r w:rsidRPr="008937B5">
        <w:rPr>
          <w:b/>
        </w:rPr>
        <w:t>roduto: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ind w:right="668" w:firstLine="709"/>
        <w:jc w:val="both"/>
      </w:pPr>
      <w:r w:rsidRPr="008937B5">
        <w:t xml:space="preserve">O Município adotará o catálogo eletrônico de padronização de compras, serviços e obras, instituído pelo Poder Executivo Federal, conforme possibilidade prevista no artigo 19, inciso II, da Lei </w:t>
      </w:r>
      <w:proofErr w:type="gramStart"/>
      <w:r w:rsidRPr="008937B5">
        <w:t>n.º</w:t>
      </w:r>
      <w:proofErr w:type="gramEnd"/>
      <w:r w:rsidRPr="008937B5">
        <w:t xml:space="preserve"> 14.133, de 1º de abril de 2021, bem como os catálogos constantes no PNCP (Portal Nacional de Contratações Públicas), sendo que o referido objeto não encontra-se aind</w:t>
      </w:r>
      <w:r>
        <w:t>a previsto no referido catálogo, quando viável.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both"/>
        <w:rPr>
          <w:color w:val="FF0000"/>
        </w:rPr>
      </w:pP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11" w:name="art40§1ii"/>
      <w:bookmarkEnd w:id="11"/>
      <w:r w:rsidRPr="008937B5">
        <w:rPr>
          <w:b/>
        </w:rPr>
        <w:t>XII – Locais de entrega:</w:t>
      </w:r>
    </w:p>
    <w:p w:rsidR="00823BD2" w:rsidRDefault="00823BD2" w:rsidP="00823BD2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FF0000"/>
        </w:rPr>
      </w:pPr>
      <w:r w:rsidRPr="008937B5">
        <w:t>Os</w:t>
      </w:r>
      <w:r>
        <w:t xml:space="preserve"> materiais deverão ser entregues nos seguintes endereços: </w:t>
      </w:r>
    </w:p>
    <w:p w:rsidR="00823BD2" w:rsidRPr="004512B8" w:rsidRDefault="00823BD2" w:rsidP="00823BD2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Unidade de bombeiro militar de Antônio</w:t>
      </w:r>
      <w:r>
        <w:rPr>
          <w:b/>
          <w:bCs/>
          <w:szCs w:val="24"/>
        </w:rPr>
        <w:t xml:space="preserve"> C</w:t>
      </w:r>
      <w:r w:rsidRPr="004512B8">
        <w:rPr>
          <w:b/>
          <w:bCs/>
          <w:szCs w:val="24"/>
        </w:rPr>
        <w:t>arlos</w:t>
      </w:r>
    </w:p>
    <w:p w:rsidR="00823BD2" w:rsidRPr="004512B8" w:rsidRDefault="00823BD2" w:rsidP="00823BD2">
      <w:pPr>
        <w:adjustRightInd w:val="0"/>
        <w:ind w:left="851"/>
        <w:rPr>
          <w:szCs w:val="24"/>
        </w:rPr>
      </w:pPr>
      <w:r w:rsidRPr="004512B8">
        <w:rPr>
          <w:szCs w:val="24"/>
        </w:rPr>
        <w:t>Rua 6 de novembro n°270</w:t>
      </w:r>
    </w:p>
    <w:p w:rsidR="00823BD2" w:rsidRPr="004512B8" w:rsidRDefault="00823BD2" w:rsidP="00823BD2">
      <w:pPr>
        <w:adjustRightInd w:val="0"/>
        <w:ind w:left="851"/>
        <w:rPr>
          <w:szCs w:val="24"/>
        </w:rPr>
      </w:pPr>
      <w:r w:rsidRPr="004512B8">
        <w:rPr>
          <w:szCs w:val="24"/>
        </w:rPr>
        <w:t>Centro - Antônio carlos/Sc</w:t>
      </w:r>
    </w:p>
    <w:p w:rsidR="00823BD2" w:rsidRPr="004512B8" w:rsidRDefault="00823BD2" w:rsidP="00823BD2">
      <w:pPr>
        <w:adjustRightInd w:val="0"/>
        <w:ind w:left="851"/>
        <w:rPr>
          <w:szCs w:val="24"/>
        </w:rPr>
      </w:pPr>
      <w:r w:rsidRPr="004512B8">
        <w:rPr>
          <w:szCs w:val="24"/>
        </w:rPr>
        <w:t>Tel.: 3272-1981/3271-9680</w:t>
      </w:r>
    </w:p>
    <w:p w:rsidR="00823BD2" w:rsidRPr="004512B8" w:rsidRDefault="00823BD2" w:rsidP="00823BD2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Endereço para entrega:</w:t>
      </w:r>
    </w:p>
    <w:p w:rsidR="00823BD2" w:rsidRPr="004512B8" w:rsidRDefault="00823BD2" w:rsidP="00823BD2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Secretaria de infraestrutura.</w:t>
      </w:r>
    </w:p>
    <w:p w:rsidR="00823BD2" w:rsidRPr="004512B8" w:rsidRDefault="00823BD2" w:rsidP="00823BD2">
      <w:pPr>
        <w:adjustRightInd w:val="0"/>
        <w:ind w:left="851"/>
        <w:rPr>
          <w:szCs w:val="24"/>
        </w:rPr>
      </w:pPr>
      <w:r w:rsidRPr="004512B8">
        <w:rPr>
          <w:szCs w:val="24"/>
        </w:rPr>
        <w:t>Rua Militão José coelho, 989 – canudos – Antônio</w:t>
      </w:r>
      <w:r>
        <w:rPr>
          <w:szCs w:val="24"/>
        </w:rPr>
        <w:t xml:space="preserve"> C</w:t>
      </w:r>
      <w:r w:rsidRPr="004512B8">
        <w:rPr>
          <w:szCs w:val="24"/>
        </w:rPr>
        <w:t>arlos/sc.</w:t>
      </w:r>
    </w:p>
    <w:p w:rsidR="00823BD2" w:rsidRPr="004512B8" w:rsidRDefault="00823BD2" w:rsidP="00823BD2">
      <w:pPr>
        <w:adjustRightInd w:val="0"/>
        <w:ind w:left="851"/>
        <w:rPr>
          <w:szCs w:val="24"/>
        </w:rPr>
      </w:pPr>
      <w:r w:rsidRPr="004512B8">
        <w:rPr>
          <w:szCs w:val="24"/>
        </w:rPr>
        <w:t>Fone: 48 – 3272-8693</w:t>
      </w:r>
    </w:p>
    <w:p w:rsidR="00823BD2" w:rsidRPr="004512B8" w:rsidRDefault="00823BD2" w:rsidP="00823BD2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Endereço para entrega:</w:t>
      </w:r>
    </w:p>
    <w:p w:rsidR="00823BD2" w:rsidRPr="004512B8" w:rsidRDefault="00823BD2" w:rsidP="00823BD2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Secretaria de agricultura e meio ambiente</w:t>
      </w:r>
    </w:p>
    <w:p w:rsidR="00823BD2" w:rsidRPr="004512B8" w:rsidRDefault="00823BD2" w:rsidP="00823BD2">
      <w:pPr>
        <w:adjustRightInd w:val="0"/>
        <w:ind w:left="851"/>
        <w:rPr>
          <w:szCs w:val="24"/>
        </w:rPr>
      </w:pPr>
      <w:r w:rsidRPr="004512B8">
        <w:rPr>
          <w:szCs w:val="24"/>
        </w:rPr>
        <w:t>Rua das Hortaliças, n. 380, Guiomar – Antônio carlos/Sc (portal europeu).</w:t>
      </w:r>
    </w:p>
    <w:p w:rsidR="00823BD2" w:rsidRPr="004512B8" w:rsidRDefault="00823BD2" w:rsidP="00823BD2">
      <w:pPr>
        <w:adjustRightInd w:val="0"/>
        <w:ind w:left="851"/>
        <w:rPr>
          <w:szCs w:val="24"/>
        </w:rPr>
      </w:pPr>
      <w:r w:rsidRPr="004512B8">
        <w:rPr>
          <w:szCs w:val="24"/>
        </w:rPr>
        <w:t>Fone: 48 – 3272-8694</w:t>
      </w:r>
    </w:p>
    <w:p w:rsidR="00823BD2" w:rsidRPr="004512B8" w:rsidRDefault="00823BD2" w:rsidP="00823BD2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Endereço para entrega:</w:t>
      </w:r>
    </w:p>
    <w:p w:rsidR="00823BD2" w:rsidRPr="004512B8" w:rsidRDefault="00823BD2" w:rsidP="00823BD2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Secretaria de esporte, turismo, indústria e comércio.</w:t>
      </w:r>
    </w:p>
    <w:p w:rsidR="00823BD2" w:rsidRPr="004512B8" w:rsidRDefault="00823BD2" w:rsidP="00823BD2">
      <w:pPr>
        <w:adjustRightInd w:val="0"/>
        <w:ind w:left="851"/>
        <w:rPr>
          <w:szCs w:val="24"/>
        </w:rPr>
      </w:pPr>
      <w:r w:rsidRPr="004512B8">
        <w:rPr>
          <w:szCs w:val="24"/>
        </w:rPr>
        <w:t>Rua Daniel Petry, 635 – centro – Antônio carlos/sc.</w:t>
      </w:r>
    </w:p>
    <w:p w:rsidR="00823BD2" w:rsidRPr="004512B8" w:rsidRDefault="00823BD2" w:rsidP="00823BD2">
      <w:pPr>
        <w:adjustRightInd w:val="0"/>
        <w:ind w:left="851"/>
        <w:rPr>
          <w:szCs w:val="24"/>
        </w:rPr>
      </w:pPr>
      <w:r w:rsidRPr="004512B8">
        <w:rPr>
          <w:szCs w:val="24"/>
        </w:rPr>
        <w:t>Fone: 48 – 3272-8629</w:t>
      </w:r>
    </w:p>
    <w:p w:rsidR="00823BD2" w:rsidRPr="004512B8" w:rsidRDefault="00823BD2" w:rsidP="00823BD2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Endereço para entrega:</w:t>
      </w:r>
    </w:p>
    <w:p w:rsidR="00823BD2" w:rsidRPr="004512B8" w:rsidRDefault="00823BD2" w:rsidP="00823BD2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Secretaria de educação e cultura</w:t>
      </w:r>
    </w:p>
    <w:p w:rsidR="00823BD2" w:rsidRPr="004512B8" w:rsidRDefault="00823BD2" w:rsidP="00823BD2">
      <w:pPr>
        <w:adjustRightInd w:val="0"/>
        <w:ind w:left="851"/>
        <w:rPr>
          <w:szCs w:val="24"/>
        </w:rPr>
      </w:pPr>
      <w:r w:rsidRPr="004512B8">
        <w:rPr>
          <w:szCs w:val="24"/>
        </w:rPr>
        <w:t>Praça Anchieta, 10 – centro – Antônio</w:t>
      </w:r>
      <w:r>
        <w:rPr>
          <w:szCs w:val="24"/>
        </w:rPr>
        <w:t xml:space="preserve"> C</w:t>
      </w:r>
      <w:r w:rsidRPr="004512B8">
        <w:rPr>
          <w:szCs w:val="24"/>
        </w:rPr>
        <w:t>arlos/Sc</w:t>
      </w:r>
    </w:p>
    <w:p w:rsidR="00823BD2" w:rsidRPr="004512B8" w:rsidRDefault="00823BD2" w:rsidP="00823BD2">
      <w:pPr>
        <w:adjustRightInd w:val="0"/>
        <w:ind w:left="851"/>
        <w:rPr>
          <w:szCs w:val="24"/>
        </w:rPr>
      </w:pPr>
      <w:r w:rsidRPr="004512B8">
        <w:rPr>
          <w:szCs w:val="24"/>
        </w:rPr>
        <w:t>Fone: 48- 3272-8668</w:t>
      </w:r>
    </w:p>
    <w:p w:rsidR="00823BD2" w:rsidRPr="004512B8" w:rsidRDefault="00823BD2" w:rsidP="00823BD2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Endereço para entrega:</w:t>
      </w:r>
    </w:p>
    <w:p w:rsidR="00823BD2" w:rsidRPr="004512B8" w:rsidRDefault="00823BD2" w:rsidP="00823BD2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Secretaria de desenvolvimento urbano.</w:t>
      </w:r>
    </w:p>
    <w:p w:rsidR="00823BD2" w:rsidRPr="004512B8" w:rsidRDefault="00823BD2" w:rsidP="00823BD2">
      <w:pPr>
        <w:adjustRightInd w:val="0"/>
        <w:ind w:left="851"/>
        <w:rPr>
          <w:szCs w:val="24"/>
        </w:rPr>
      </w:pPr>
      <w:r w:rsidRPr="004512B8">
        <w:rPr>
          <w:szCs w:val="24"/>
        </w:rPr>
        <w:t>Praça Anchieta, 10 – centro – Antônio</w:t>
      </w:r>
      <w:r>
        <w:rPr>
          <w:szCs w:val="24"/>
        </w:rPr>
        <w:t xml:space="preserve"> C</w:t>
      </w:r>
      <w:r w:rsidRPr="004512B8">
        <w:rPr>
          <w:szCs w:val="24"/>
        </w:rPr>
        <w:t>arlos/Sc</w:t>
      </w:r>
    </w:p>
    <w:p w:rsidR="00823BD2" w:rsidRPr="004512B8" w:rsidRDefault="00823BD2" w:rsidP="00823BD2">
      <w:pPr>
        <w:pStyle w:val="NormalWeb"/>
        <w:spacing w:before="0" w:beforeAutospacing="0" w:after="0" w:afterAutospacing="0" w:line="360" w:lineRule="auto"/>
        <w:ind w:left="851"/>
        <w:jc w:val="both"/>
      </w:pPr>
      <w:r w:rsidRPr="004512B8">
        <w:t>Fone: 48- 3272-8625</w:t>
      </w:r>
    </w:p>
    <w:p w:rsidR="00823BD2" w:rsidRPr="004512B8" w:rsidRDefault="00823BD2" w:rsidP="00823BD2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Secretaria de administração e finanças</w:t>
      </w:r>
    </w:p>
    <w:p w:rsidR="00823BD2" w:rsidRPr="004512B8" w:rsidRDefault="00823BD2" w:rsidP="00823BD2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Prefeitura de Antônio carlos Sc</w:t>
      </w:r>
    </w:p>
    <w:p w:rsidR="00823BD2" w:rsidRPr="004512B8" w:rsidRDefault="00823BD2" w:rsidP="00823BD2">
      <w:pPr>
        <w:adjustRightInd w:val="0"/>
        <w:ind w:left="851"/>
        <w:rPr>
          <w:szCs w:val="24"/>
        </w:rPr>
      </w:pPr>
      <w:r w:rsidRPr="004512B8">
        <w:rPr>
          <w:szCs w:val="24"/>
        </w:rPr>
        <w:t>Praça Anchieta, 10 – centro – Antônio</w:t>
      </w:r>
      <w:r>
        <w:rPr>
          <w:szCs w:val="24"/>
        </w:rPr>
        <w:t xml:space="preserve"> C</w:t>
      </w:r>
      <w:r w:rsidRPr="004512B8">
        <w:rPr>
          <w:szCs w:val="24"/>
        </w:rPr>
        <w:t>arlos/Sc</w:t>
      </w:r>
    </w:p>
    <w:p w:rsidR="00823BD2" w:rsidRPr="004512B8" w:rsidRDefault="00823BD2" w:rsidP="00823BD2">
      <w:pPr>
        <w:adjustRightInd w:val="0"/>
        <w:ind w:left="851"/>
        <w:rPr>
          <w:szCs w:val="24"/>
        </w:rPr>
      </w:pPr>
      <w:r w:rsidRPr="004512B8">
        <w:rPr>
          <w:szCs w:val="24"/>
        </w:rPr>
        <w:t>Fone: 48- 3272-8600</w:t>
      </w:r>
    </w:p>
    <w:p w:rsidR="00823BD2" w:rsidRPr="004512B8" w:rsidRDefault="00823BD2" w:rsidP="00823BD2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Endereço para entrega:</w:t>
      </w:r>
    </w:p>
    <w:p w:rsidR="00823BD2" w:rsidRPr="004512B8" w:rsidRDefault="00823BD2" w:rsidP="00823BD2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Secretaria de desenvolvimento social</w:t>
      </w:r>
    </w:p>
    <w:p w:rsidR="00823BD2" w:rsidRPr="004512B8" w:rsidRDefault="00823BD2" w:rsidP="00823BD2">
      <w:pPr>
        <w:adjustRightInd w:val="0"/>
        <w:ind w:left="851"/>
        <w:rPr>
          <w:szCs w:val="24"/>
        </w:rPr>
      </w:pPr>
      <w:r w:rsidRPr="004512B8">
        <w:rPr>
          <w:szCs w:val="24"/>
        </w:rPr>
        <w:t>Rua 6 de novembro, 210 - centro - Antônio</w:t>
      </w:r>
      <w:r>
        <w:rPr>
          <w:szCs w:val="24"/>
        </w:rPr>
        <w:t xml:space="preserve"> Carlos/S</w:t>
      </w:r>
      <w:r w:rsidRPr="004512B8">
        <w:rPr>
          <w:szCs w:val="24"/>
        </w:rPr>
        <w:t>c.</w:t>
      </w:r>
    </w:p>
    <w:p w:rsidR="00823BD2" w:rsidRPr="004512B8" w:rsidRDefault="00823BD2" w:rsidP="00823BD2">
      <w:pPr>
        <w:adjustRightInd w:val="0"/>
        <w:ind w:left="851"/>
        <w:rPr>
          <w:szCs w:val="24"/>
        </w:rPr>
      </w:pPr>
      <w:r w:rsidRPr="004512B8">
        <w:rPr>
          <w:szCs w:val="24"/>
        </w:rPr>
        <w:t>Fone: 48 - 3272-8670</w:t>
      </w:r>
    </w:p>
    <w:p w:rsidR="00823BD2" w:rsidRPr="004512B8" w:rsidRDefault="00823BD2" w:rsidP="00823BD2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Endereço para entrega:</w:t>
      </w:r>
    </w:p>
    <w:p w:rsidR="00823BD2" w:rsidRPr="004512B8" w:rsidRDefault="00823BD2" w:rsidP="00823BD2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Corpo de bombeiros – Antônio</w:t>
      </w:r>
      <w:r>
        <w:rPr>
          <w:b/>
          <w:bCs/>
          <w:szCs w:val="24"/>
        </w:rPr>
        <w:t xml:space="preserve"> C</w:t>
      </w:r>
      <w:r w:rsidRPr="004512B8">
        <w:rPr>
          <w:b/>
          <w:bCs/>
          <w:szCs w:val="24"/>
        </w:rPr>
        <w:t>arlos/Sc</w:t>
      </w:r>
    </w:p>
    <w:p w:rsidR="00823BD2" w:rsidRPr="004512B8" w:rsidRDefault="00823BD2" w:rsidP="00823BD2">
      <w:pPr>
        <w:adjustRightInd w:val="0"/>
        <w:ind w:left="851"/>
        <w:rPr>
          <w:szCs w:val="24"/>
        </w:rPr>
      </w:pPr>
      <w:r w:rsidRPr="004512B8">
        <w:rPr>
          <w:szCs w:val="24"/>
        </w:rPr>
        <w:t>R. 6 de novembro, 27, Antônio</w:t>
      </w:r>
      <w:r>
        <w:rPr>
          <w:szCs w:val="24"/>
        </w:rPr>
        <w:t xml:space="preserve"> C</w:t>
      </w:r>
      <w:r w:rsidRPr="004512B8">
        <w:rPr>
          <w:szCs w:val="24"/>
        </w:rPr>
        <w:t>arlos - Sc, 88180-000</w:t>
      </w:r>
    </w:p>
    <w:p w:rsidR="00823BD2" w:rsidRPr="004512B8" w:rsidRDefault="00823BD2" w:rsidP="00823BD2">
      <w:pPr>
        <w:pStyle w:val="NormalWeb"/>
        <w:spacing w:before="0" w:beforeAutospacing="0" w:after="0" w:afterAutospacing="0" w:line="360" w:lineRule="auto"/>
        <w:ind w:left="851"/>
        <w:jc w:val="both"/>
      </w:pPr>
      <w:r w:rsidRPr="004512B8">
        <w:t>Fone: 48- 3272-8600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12" w:name="art40§1iii"/>
      <w:bookmarkEnd w:id="12"/>
      <w:r w:rsidRPr="008937B5">
        <w:rPr>
          <w:b/>
        </w:rPr>
        <w:lastRenderedPageBreak/>
        <w:t>XIII – Especificação da garantia exigida e das condições de manutenção e assistência técnica:</w:t>
      </w:r>
    </w:p>
    <w:p w:rsidR="00823BD2" w:rsidRDefault="00823BD2" w:rsidP="00823BD2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Os materiais com avaria deverão ser substituídos em até 24 horas após solicitação da Secretaria requisitante.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both"/>
      </w:pP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right"/>
      </w:pP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right"/>
      </w:pPr>
      <w:r w:rsidRPr="008937B5">
        <w:t xml:space="preserve">Antônio Carlos, </w:t>
      </w:r>
      <w:r>
        <w:t>07</w:t>
      </w:r>
      <w:r w:rsidRPr="008937B5">
        <w:t xml:space="preserve"> de </w:t>
      </w:r>
      <w:r>
        <w:t>janeiro</w:t>
      </w:r>
      <w:r w:rsidRPr="008937B5">
        <w:t xml:space="preserve"> de</w:t>
      </w:r>
      <w:r w:rsidRPr="008937B5">
        <w:rPr>
          <w:color w:val="FF0000"/>
        </w:rPr>
        <w:t xml:space="preserve"> </w:t>
      </w:r>
      <w:r>
        <w:t>2025.</w:t>
      </w:r>
    </w:p>
    <w:p w:rsidR="00823BD2" w:rsidRPr="008937B5" w:rsidRDefault="00823BD2" w:rsidP="00823BD2">
      <w:pPr>
        <w:pStyle w:val="NormalWeb"/>
        <w:spacing w:before="0" w:beforeAutospacing="0" w:after="0" w:afterAutospacing="0" w:line="360" w:lineRule="auto"/>
        <w:jc w:val="center"/>
      </w:pPr>
    </w:p>
    <w:p w:rsidR="00823BD2" w:rsidRPr="008937B5" w:rsidRDefault="00823BD2" w:rsidP="00823BD2">
      <w:pPr>
        <w:pStyle w:val="NormalWeb"/>
        <w:spacing w:before="0" w:beforeAutospacing="0" w:after="0" w:afterAutospacing="0"/>
        <w:jc w:val="center"/>
      </w:pPr>
      <w:r w:rsidRPr="008937B5">
        <w:t>_____________________________</w:t>
      </w:r>
      <w:r>
        <w:t>_________________</w:t>
      </w:r>
    </w:p>
    <w:p w:rsidR="00823BD2" w:rsidRPr="008937B5" w:rsidRDefault="00823BD2" w:rsidP="00823BD2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>Cezar Nilo Hoffmann</w:t>
      </w:r>
    </w:p>
    <w:p w:rsidR="00A61BF3" w:rsidRPr="00823BD2" w:rsidRDefault="00823BD2" w:rsidP="00823BD2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8937B5">
        <w:rPr>
          <w:color w:val="000000"/>
        </w:rPr>
        <w:t>Secretári</w:t>
      </w:r>
      <w:r>
        <w:rPr>
          <w:color w:val="000000"/>
        </w:rPr>
        <w:t>o</w:t>
      </w:r>
      <w:r w:rsidRPr="008937B5">
        <w:rPr>
          <w:color w:val="000000"/>
        </w:rPr>
        <w:t xml:space="preserve"> de Administração e </w:t>
      </w:r>
      <w:r>
        <w:rPr>
          <w:color w:val="000000"/>
        </w:rPr>
        <w:t>Finanças</w:t>
      </w:r>
    </w:p>
    <w:sectPr w:rsidR="00A61BF3" w:rsidRPr="00823BD2" w:rsidSect="000F4EA5">
      <w:headerReference w:type="default" r:id="rId10"/>
      <w:pgSz w:w="11920" w:h="16850"/>
      <w:pgMar w:top="2300" w:right="1288" w:bottom="568" w:left="16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47" w:rsidRDefault="00533E47">
      <w:r>
        <w:separator/>
      </w:r>
    </w:p>
  </w:endnote>
  <w:endnote w:type="continuationSeparator" w:id="0">
    <w:p w:rsidR="00533E47" w:rsidRDefault="0053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47" w:rsidRDefault="00533E47">
      <w:r>
        <w:separator/>
      </w:r>
    </w:p>
  </w:footnote>
  <w:footnote w:type="continuationSeparator" w:id="0">
    <w:p w:rsidR="00533E47" w:rsidRDefault="0053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E2" w:rsidRDefault="00A011E7">
    <w:pPr>
      <w:pStyle w:val="Cabealho"/>
    </w:pPr>
    <w:r>
      <w:rPr>
        <w:noProof/>
        <w:lang w:val="pt-BR" w:eastAsia="pt-BR"/>
      </w:rPr>
      <w:drawing>
        <wp:inline distT="0" distB="0" distL="0" distR="0" wp14:anchorId="67422A92" wp14:editId="706813A7">
          <wp:extent cx="5400040" cy="816403"/>
          <wp:effectExtent l="0" t="0" r="0" b="317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e fec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1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703D"/>
    <w:multiLevelType w:val="multilevel"/>
    <w:tmpl w:val="5CEC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44D4B"/>
    <w:multiLevelType w:val="hybridMultilevel"/>
    <w:tmpl w:val="D50233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15520"/>
    <w:multiLevelType w:val="multilevel"/>
    <w:tmpl w:val="0A16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03378"/>
    <w:multiLevelType w:val="multilevel"/>
    <w:tmpl w:val="9B3A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C5881"/>
    <w:multiLevelType w:val="hybridMultilevel"/>
    <w:tmpl w:val="7AF21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F20CC"/>
    <w:multiLevelType w:val="hybridMultilevel"/>
    <w:tmpl w:val="B088F22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812BF"/>
    <w:multiLevelType w:val="hybridMultilevel"/>
    <w:tmpl w:val="66FEBA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1561"/>
    <w:multiLevelType w:val="multilevel"/>
    <w:tmpl w:val="A424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9D"/>
    <w:rsid w:val="00037358"/>
    <w:rsid w:val="00054D0E"/>
    <w:rsid w:val="00055F80"/>
    <w:rsid w:val="000610BA"/>
    <w:rsid w:val="00082014"/>
    <w:rsid w:val="000911B1"/>
    <w:rsid w:val="000A46E4"/>
    <w:rsid w:val="000F0212"/>
    <w:rsid w:val="000F4EA5"/>
    <w:rsid w:val="001031FB"/>
    <w:rsid w:val="0010363A"/>
    <w:rsid w:val="001206E8"/>
    <w:rsid w:val="00124B23"/>
    <w:rsid w:val="00130AD4"/>
    <w:rsid w:val="001A24B5"/>
    <w:rsid w:val="001B4C47"/>
    <w:rsid w:val="001B6DC3"/>
    <w:rsid w:val="001D31B1"/>
    <w:rsid w:val="001E1201"/>
    <w:rsid w:val="001F671C"/>
    <w:rsid w:val="00226EF0"/>
    <w:rsid w:val="00235680"/>
    <w:rsid w:val="00256C70"/>
    <w:rsid w:val="002B1AEA"/>
    <w:rsid w:val="002C4AD9"/>
    <w:rsid w:val="002D1F3B"/>
    <w:rsid w:val="002F3814"/>
    <w:rsid w:val="00342C8A"/>
    <w:rsid w:val="00360D49"/>
    <w:rsid w:val="00376EC6"/>
    <w:rsid w:val="003A1D67"/>
    <w:rsid w:val="003B3E51"/>
    <w:rsid w:val="003E64F4"/>
    <w:rsid w:val="003F4900"/>
    <w:rsid w:val="00461E9D"/>
    <w:rsid w:val="004A754A"/>
    <w:rsid w:val="004B09D3"/>
    <w:rsid w:val="004F59CA"/>
    <w:rsid w:val="00522D0E"/>
    <w:rsid w:val="00533E47"/>
    <w:rsid w:val="00544A24"/>
    <w:rsid w:val="00577EF5"/>
    <w:rsid w:val="005802A6"/>
    <w:rsid w:val="00591295"/>
    <w:rsid w:val="005963A5"/>
    <w:rsid w:val="005B3383"/>
    <w:rsid w:val="005E71C3"/>
    <w:rsid w:val="005F2F7C"/>
    <w:rsid w:val="005F7EC8"/>
    <w:rsid w:val="0060215B"/>
    <w:rsid w:val="00641E0E"/>
    <w:rsid w:val="0064635C"/>
    <w:rsid w:val="006705C4"/>
    <w:rsid w:val="00670754"/>
    <w:rsid w:val="00685BBB"/>
    <w:rsid w:val="006977FC"/>
    <w:rsid w:val="006C371D"/>
    <w:rsid w:val="00700341"/>
    <w:rsid w:val="007042E2"/>
    <w:rsid w:val="00706A01"/>
    <w:rsid w:val="00721601"/>
    <w:rsid w:val="00762B35"/>
    <w:rsid w:val="007803A4"/>
    <w:rsid w:val="007972D5"/>
    <w:rsid w:val="0079788B"/>
    <w:rsid w:val="007F56E8"/>
    <w:rsid w:val="0080175B"/>
    <w:rsid w:val="00823BD2"/>
    <w:rsid w:val="008475EB"/>
    <w:rsid w:val="00885996"/>
    <w:rsid w:val="008A2FC4"/>
    <w:rsid w:val="008B4B2A"/>
    <w:rsid w:val="008D7474"/>
    <w:rsid w:val="008E371E"/>
    <w:rsid w:val="00905E48"/>
    <w:rsid w:val="00917F7E"/>
    <w:rsid w:val="0095126C"/>
    <w:rsid w:val="00976FC9"/>
    <w:rsid w:val="00987997"/>
    <w:rsid w:val="009A2250"/>
    <w:rsid w:val="009C6AEB"/>
    <w:rsid w:val="00A011E7"/>
    <w:rsid w:val="00A61BF3"/>
    <w:rsid w:val="00A7415D"/>
    <w:rsid w:val="00B759F8"/>
    <w:rsid w:val="00B91DB9"/>
    <w:rsid w:val="00BA0D59"/>
    <w:rsid w:val="00BC2A3C"/>
    <w:rsid w:val="00BD327F"/>
    <w:rsid w:val="00BE7B1D"/>
    <w:rsid w:val="00C063A8"/>
    <w:rsid w:val="00C16635"/>
    <w:rsid w:val="00C548A1"/>
    <w:rsid w:val="00C82EA1"/>
    <w:rsid w:val="00C97EE2"/>
    <w:rsid w:val="00CA17EA"/>
    <w:rsid w:val="00CB1A54"/>
    <w:rsid w:val="00CC5354"/>
    <w:rsid w:val="00D45E3B"/>
    <w:rsid w:val="00DB078B"/>
    <w:rsid w:val="00DE49AD"/>
    <w:rsid w:val="00DF387A"/>
    <w:rsid w:val="00E75B77"/>
    <w:rsid w:val="00E82339"/>
    <w:rsid w:val="00EC2E78"/>
    <w:rsid w:val="00ED4DED"/>
    <w:rsid w:val="00EE1030"/>
    <w:rsid w:val="00EF65E9"/>
    <w:rsid w:val="00F34B95"/>
    <w:rsid w:val="00F64DC9"/>
    <w:rsid w:val="00FA1C46"/>
    <w:rsid w:val="00FA2DA6"/>
    <w:rsid w:val="00FB1815"/>
    <w:rsid w:val="00FB1E3F"/>
    <w:rsid w:val="00FD174F"/>
    <w:rsid w:val="00FD2F34"/>
    <w:rsid w:val="00FE0D99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ADBCC7DE-A614-4389-AB58-9DCCA249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7EF5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1"/>
      <w:ind w:left="1399" w:right="1851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42" w:hanging="24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3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"/>
      <w:ind w:left="951" w:right="1268" w:firstLine="309"/>
    </w:pPr>
    <w:rPr>
      <w:rFonts w:ascii="Cambria" w:eastAsia="Cambria" w:hAnsi="Cambria" w:cs="Cambria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250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A754A"/>
    <w:rPr>
      <w:color w:val="0000FF" w:themeColor="hyperlink"/>
      <w:u w:val="single"/>
    </w:rPr>
  </w:style>
  <w:style w:type="character" w:customStyle="1" w:styleId="selectable-text">
    <w:name w:val="selectable-text"/>
    <w:basedOn w:val="Fontepargpadro"/>
    <w:rsid w:val="00376EC6"/>
  </w:style>
  <w:style w:type="paragraph" w:styleId="NormalWeb">
    <w:name w:val="Normal (Web)"/>
    <w:basedOn w:val="Normal"/>
    <w:uiPriority w:val="99"/>
    <w:unhideWhenUsed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082014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64DC9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360D49"/>
    <w:rPr>
      <w:rFonts w:ascii="Cambria" w:eastAsia="Cambria" w:hAnsi="Cambria" w:cs="Cambria"/>
      <w:b/>
      <w:bCs/>
      <w:sz w:val="28"/>
      <w:szCs w:val="28"/>
      <w:lang w:val="pt-PT"/>
    </w:rPr>
  </w:style>
  <w:style w:type="paragraph" w:customStyle="1" w:styleId="pspdfkit-8ayy4hjz5h5sb5mqfjxzpc42zw">
    <w:name w:val="pspdfkit-8ayy4hjz5h5sb5mqfjxzpc42zw"/>
    <w:basedOn w:val="Normal"/>
    <w:rsid w:val="004F59C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pspdfkit-6fq5ysqkmc2gc1fek9b659qfh8">
    <w:name w:val="pspdfkit-6fq5ysqkmc2gc1fek9b659qfh8"/>
    <w:basedOn w:val="Fontepargpadro"/>
    <w:rsid w:val="004F59CA"/>
  </w:style>
  <w:style w:type="paragraph" w:customStyle="1" w:styleId="Default">
    <w:name w:val="Default"/>
    <w:rsid w:val="004F59C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4F59CA"/>
    <w:pPr>
      <w:widowControl/>
      <w:autoSpaceDE/>
      <w:autoSpaceDN/>
    </w:pPr>
    <w:rPr>
      <w:lang w:val="pt-BR"/>
    </w:rPr>
  </w:style>
  <w:style w:type="paragraph" w:customStyle="1" w:styleId="LO-normal">
    <w:name w:val="LO-normal"/>
    <w:qFormat/>
    <w:rsid w:val="00CA17EA"/>
    <w:pPr>
      <w:suppressAutoHyphens/>
      <w:autoSpaceDE/>
      <w:autoSpaceDN/>
    </w:pPr>
    <w:rPr>
      <w:rFonts w:ascii="Calibri" w:eastAsia="Calibri" w:hAnsi="Calibri" w:cs="Calibri"/>
      <w:sz w:val="24"/>
      <w:szCs w:val="24"/>
      <w:lang w:val="pt-BR" w:eastAsia="zh-CN" w:bidi="hi-IN"/>
    </w:rPr>
  </w:style>
  <w:style w:type="paragraph" w:customStyle="1" w:styleId="A290570">
    <w:name w:val="_A290570"/>
    <w:basedOn w:val="Normal"/>
    <w:rsid w:val="001E1201"/>
    <w:pPr>
      <w:suppressAutoHyphens/>
      <w:autoSpaceDE/>
      <w:autoSpaceDN/>
      <w:ind w:left="576" w:firstLine="4032"/>
      <w:jc w:val="both"/>
    </w:pPr>
    <w:rPr>
      <w:sz w:val="24"/>
      <w:szCs w:val="20"/>
      <w:lang w:val="pt-BR"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3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uiPriority w:val="22"/>
    <w:qFormat/>
    <w:rsid w:val="00823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2@antoniocarlos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toniocarl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0306B-A36B-47E7-B0F4-8B21D085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8</Pages>
  <Words>1941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Desktop</cp:lastModifiedBy>
  <cp:revision>67</cp:revision>
  <cp:lastPrinted>2024-08-07T13:19:00Z</cp:lastPrinted>
  <dcterms:created xsi:type="dcterms:W3CDTF">2024-06-05T20:24:00Z</dcterms:created>
  <dcterms:modified xsi:type="dcterms:W3CDTF">2025-01-08T18:40:00Z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2024-02-21T00:00:00Z</vt:filetime>
  </property>
</Properties>
</file>