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A61BF3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152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A61BF3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Compra Dispensável nº 72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5F7EC8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Secretaria d</w:t>
      </w:r>
      <w:r w:rsidR="000610BA">
        <w:rPr>
          <w:rFonts w:ascii="Arial Narrow" w:hAnsi="Arial Narrow" w:cs="Arial"/>
          <w:w w:val="115"/>
          <w:sz w:val="24"/>
          <w:szCs w:val="24"/>
        </w:rPr>
        <w:t xml:space="preserve">e </w:t>
      </w:r>
      <w:r w:rsidR="00A61BF3">
        <w:rPr>
          <w:rFonts w:ascii="Arial Narrow" w:hAnsi="Arial Narrow" w:cs="Arial"/>
          <w:w w:val="115"/>
          <w:sz w:val="24"/>
          <w:szCs w:val="24"/>
        </w:rPr>
        <w:t>Infraestrutura – Polícia Militar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8D7474" w:rsidRDefault="00A61BF3" w:rsidP="00FD174F">
      <w:pPr>
        <w:pStyle w:val="Ttulo2"/>
        <w:spacing w:line="276" w:lineRule="auto"/>
        <w:ind w:left="0" w:right="243" w:firstLine="0"/>
        <w:jc w:val="both"/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</w:pPr>
      <w:r w:rsidRPr="00A61BF3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Contratação de empresa especializada no fornecimento de materiais e equipamentos 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diversos </w:t>
      </w:r>
      <w:r w:rsidRPr="00A61BF3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para uso da Polícia Militar do Município de Antônio Carlos/SC</w:t>
      </w:r>
      <w:r w:rsidR="001E1201" w:rsidRPr="001E1201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.</w:t>
      </w:r>
    </w:p>
    <w:p w:rsidR="00DF387A" w:rsidRPr="00A011E7" w:rsidRDefault="00DF387A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</w:t>
      </w:r>
      <w:r w:rsidR="002B1AEA">
        <w:rPr>
          <w:rFonts w:ascii="Arial Narrow" w:hAnsi="Arial Narrow" w:cs="Arial"/>
          <w:b w:val="0"/>
        </w:rPr>
        <w:t xml:space="preserve"> </w:t>
      </w:r>
      <w:r w:rsidR="001E1201">
        <w:rPr>
          <w:rFonts w:ascii="Arial Narrow" w:hAnsi="Arial Narrow" w:cs="Arial"/>
          <w:b w:val="0"/>
        </w:rPr>
        <w:t xml:space="preserve">item VIII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nos termos do 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A61BF3">
        <w:rPr>
          <w:rFonts w:ascii="Arial Narrow" w:hAnsi="Arial Narrow" w:cs="Arial"/>
          <w:spacing w:val="-1"/>
        </w:rPr>
        <w:t xml:space="preserve"> ou seja, até o dia 06/12</w:t>
      </w:r>
      <w:r w:rsidR="005802A6" w:rsidRPr="00A011E7">
        <w:rPr>
          <w:rFonts w:ascii="Arial Narrow" w:hAnsi="Arial Narrow" w:cs="Arial"/>
          <w:spacing w:val="-1"/>
        </w:rPr>
        <w:t>/</w:t>
      </w:r>
      <w:r w:rsidR="00376EC6" w:rsidRPr="00A011E7">
        <w:rPr>
          <w:rFonts w:ascii="Arial Narrow" w:hAnsi="Arial Narrow" w:cs="Arial"/>
          <w:spacing w:val="-1"/>
        </w:rPr>
        <w:t>2024.</w:t>
      </w:r>
    </w:p>
    <w:p w:rsidR="00905E48" w:rsidRPr="00A011E7" w:rsidRDefault="00905E48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hyperlink r:id="rId8" w:history="1">
        <w:r w:rsidR="00905E48" w:rsidRPr="00622AD6">
          <w:rPr>
            <w:rStyle w:val="Hyperlink"/>
            <w:rFonts w:ascii="Arial Narrow" w:hAnsi="Arial Narrow" w:cs="Arial"/>
            <w:spacing w:val="-1"/>
          </w:rPr>
          <w:t>licitacao2@antoniocarlos.sc.gov.br</w:t>
        </w:r>
      </w:hyperlink>
    </w:p>
    <w:p w:rsidR="00905E48" w:rsidRPr="00A011E7" w:rsidRDefault="00905E48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9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461E9D" w:rsidRPr="00FF482D" w:rsidRDefault="008A2FC4" w:rsidP="00905E48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A61BF3">
        <w:rPr>
          <w:rFonts w:ascii="Arial Narrow" w:hAnsi="Arial Narrow" w:cs="Arial"/>
        </w:rPr>
        <w:t>Carlos, 03</w:t>
      </w:r>
      <w:r w:rsidR="001B4C47">
        <w:rPr>
          <w:rFonts w:ascii="Arial Narrow" w:hAnsi="Arial Narrow" w:cs="Arial"/>
        </w:rPr>
        <w:t xml:space="preserve"> de </w:t>
      </w:r>
      <w:r w:rsidR="00A61BF3">
        <w:rPr>
          <w:rFonts w:ascii="Arial Narrow" w:hAnsi="Arial Narrow" w:cs="Arial"/>
        </w:rPr>
        <w:t>dez</w:t>
      </w:r>
      <w:r w:rsidR="001E1201">
        <w:rPr>
          <w:rFonts w:ascii="Arial Narrow" w:hAnsi="Arial Narrow" w:cs="Arial"/>
        </w:rPr>
        <w:t>em</w:t>
      </w:r>
      <w:r w:rsidR="001B4C47">
        <w:rPr>
          <w:rFonts w:ascii="Arial Narrow" w:hAnsi="Arial Narrow" w:cs="Arial"/>
        </w:rPr>
        <w:t>bro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2024.</w:t>
      </w: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1E1201" w:rsidRPr="00FF482D" w:rsidRDefault="001E1201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641E0E" w:rsidRDefault="00FD174F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1E1201" w:rsidRDefault="001E1201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</w:p>
    <w:p w:rsidR="001E1201" w:rsidRDefault="001E1201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</w:p>
    <w:p w:rsidR="00A61BF3" w:rsidRPr="008937B5" w:rsidRDefault="00A61BF3" w:rsidP="00A61BF3">
      <w:pPr>
        <w:spacing w:before="240" w:after="240"/>
        <w:jc w:val="center"/>
        <w:rPr>
          <w:b/>
          <w:szCs w:val="24"/>
          <w:u w:val="single"/>
        </w:rPr>
      </w:pPr>
      <w:r w:rsidRPr="008937B5">
        <w:rPr>
          <w:b/>
          <w:szCs w:val="24"/>
          <w:u w:val="single"/>
        </w:rPr>
        <w:t xml:space="preserve">Termo de Referência nº </w:t>
      </w:r>
      <w:r>
        <w:rPr>
          <w:b/>
          <w:szCs w:val="24"/>
          <w:u w:val="single"/>
        </w:rPr>
        <w:t>013</w:t>
      </w:r>
      <w:r w:rsidRPr="008937B5">
        <w:rPr>
          <w:b/>
          <w:szCs w:val="24"/>
          <w:u w:val="single"/>
        </w:rPr>
        <w:t>/2024</w:t>
      </w:r>
    </w:p>
    <w:p w:rsidR="00A61BF3" w:rsidRPr="008937B5" w:rsidRDefault="00A61BF3" w:rsidP="00A61BF3">
      <w:pPr>
        <w:spacing w:line="360" w:lineRule="auto"/>
        <w:rPr>
          <w:b/>
          <w:szCs w:val="24"/>
        </w:rPr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 – Objeto: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  <w:r w:rsidRPr="008937B5">
        <w:t>Contratação de empresa especializada n</w:t>
      </w:r>
      <w:r>
        <w:t>o fornecimento de materiais e equipamentos para uso da</w:t>
      </w:r>
      <w:r w:rsidRPr="008937B5">
        <w:t xml:space="preserve"> Polícia Militar do Município de Antônio Carlos</w:t>
      </w:r>
      <w:r>
        <w:t>/SC</w:t>
      </w:r>
      <w:r w:rsidRPr="008937B5">
        <w:t>.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II – Fundamentação: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  <w:r w:rsidRPr="008937B5">
        <w:t>Conforme previsão do Decreto Municipal nº 11/2024, acerca do Estudo Técnico Preliminar (ETP), o referido diploma legal dispõe: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Art. 8º Em âmbito municipal, a elaboração do Estudo Técnico Preliminar será opcional nos seguintes casos: I - contratação de obras, serviços, compras e locações, cujos valores se enquadrem nos limites dos incisos I e II do artigo 75 da Lei </w:t>
      </w:r>
      <w:proofErr w:type="gramStart"/>
      <w:r w:rsidRPr="008937B5">
        <w:t>n.º</w:t>
      </w:r>
      <w:proofErr w:type="gramEnd"/>
      <w:r w:rsidRPr="008937B5">
        <w:t xml:space="preserve"> 14.133, de 1º de abril de 2021, independentemente da forma de contratação.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A partir da Lei nº 14.133/21, dispomos da fundamentação contida no Artigo 75, Inciso II: “É dispensável a licitação: para a contratação que envolva valores inferiores a R$ 50.000,00 (cinquenta mil reais), no caso de outros serviços e </w:t>
      </w:r>
      <w:proofErr w:type="gramStart"/>
      <w:r w:rsidRPr="008937B5">
        <w:t>compras;”</w:t>
      </w:r>
      <w:proofErr w:type="gramEnd"/>
    </w:p>
    <w:p w:rsidR="00A61BF3" w:rsidRPr="008937B5" w:rsidRDefault="00A61BF3" w:rsidP="00A61BF3">
      <w:pPr>
        <w:rPr>
          <w:b/>
          <w:szCs w:val="24"/>
        </w:rPr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0" w:name="art6xxiiib"/>
      <w:bookmarkStart w:id="1" w:name="art6xxiiic"/>
      <w:bookmarkEnd w:id="0"/>
      <w:bookmarkEnd w:id="1"/>
      <w:r w:rsidRPr="008937B5">
        <w:rPr>
          <w:b/>
        </w:rPr>
        <w:t>III – Solução como um todo:</w:t>
      </w:r>
    </w:p>
    <w:p w:rsidR="00A61BF3" w:rsidRPr="008937B5" w:rsidRDefault="00A61BF3" w:rsidP="00A61BF3">
      <w:pPr>
        <w:pStyle w:val="NormalWeb"/>
        <w:shd w:val="clear" w:color="auto" w:fill="FFFFFF"/>
        <w:spacing w:after="300" w:line="360" w:lineRule="auto"/>
        <w:jc w:val="both"/>
      </w:pPr>
      <w:r w:rsidRPr="008937B5">
        <w:rPr>
          <w:color w:val="000000"/>
        </w:rPr>
        <w:t xml:space="preserve">A referida contratação possibilitará ao Município de Antônio Carlos fazer a </w:t>
      </w:r>
      <w:r>
        <w:rPr>
          <w:color w:val="000000"/>
        </w:rPr>
        <w:t>aquisição de materiais e equipamentos que darão condições da Policia Militar em Antônio Carlos continuar o seu trabalho ostensivo e operacional dando condições melhores na segurança e mobilidade Municipal</w:t>
      </w:r>
      <w:r w:rsidRPr="008937B5">
        <w:t>.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IV – Requisitos da contratação: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  <w:r w:rsidRPr="008937B5">
        <w:t>Poderão participar do certame as empresas interessadas que se enquadrem no ramo pertinente ao objeto desta dispensa, que atenderem inclusive quanto à documentação, a todas as exigências deste termo de referência.</w:t>
      </w:r>
    </w:p>
    <w:p w:rsidR="00A61BF3" w:rsidRPr="008937B5" w:rsidRDefault="00A61BF3" w:rsidP="00A61BF3">
      <w:pPr>
        <w:pStyle w:val="Corpodetexto"/>
        <w:spacing w:before="102" w:line="360" w:lineRule="auto"/>
        <w:ind w:right="-1"/>
      </w:pPr>
      <w:r w:rsidRPr="008937B5">
        <w:t>A empresa contratada deverá atender a todas as exigências de habilitação jurídica, fiscal, social e trabalhistas constantes na Lei 14.133/2021, devendo ter um padrão mínimo de excelência e qualidade, prestando um bom atendimento com os servidores da municipalidade.</w:t>
      </w:r>
    </w:p>
    <w:p w:rsidR="00A61BF3" w:rsidRPr="008937B5" w:rsidRDefault="00A61BF3" w:rsidP="00A61BF3">
      <w:pPr>
        <w:pStyle w:val="Corpodetexto"/>
        <w:spacing w:line="207" w:lineRule="exact"/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2" w:name="art6xxiiie"/>
      <w:bookmarkEnd w:id="2"/>
      <w:r w:rsidRPr="008937B5">
        <w:rPr>
          <w:b/>
        </w:rPr>
        <w:t>V – Modelo de execução do objeto: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  <w:r w:rsidRPr="008937B5">
        <w:t xml:space="preserve">Após a solicitação por meio de documento oficial emitido pela Secretaria de Administração e Finanças, a empresa deverá </w:t>
      </w:r>
      <w:r>
        <w:t>entregar os materiais</w:t>
      </w:r>
      <w:r w:rsidRPr="008937B5">
        <w:t xml:space="preserve"> no prazo máximo de </w:t>
      </w:r>
      <w:r>
        <w:t>7</w:t>
      </w:r>
      <w:r w:rsidRPr="008937B5">
        <w:t xml:space="preserve"> (</w:t>
      </w:r>
      <w:r>
        <w:t>sete)</w:t>
      </w:r>
      <w:r w:rsidRPr="008937B5">
        <w:t xml:space="preserve"> dia</w:t>
      </w:r>
      <w:r>
        <w:t>s</w:t>
      </w:r>
      <w:r w:rsidRPr="008937B5">
        <w:t xml:space="preserve"> úteis a contar da missão do referido documento. 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3" w:name="art6xxiiif"/>
      <w:bookmarkEnd w:id="3"/>
      <w:r w:rsidRPr="008937B5">
        <w:rPr>
          <w:b/>
        </w:rPr>
        <w:t>VI – Modelo de gestão do contrato: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</w:pPr>
      <w:r w:rsidRPr="008937B5">
        <w:t>Para este objeto específico não caberá a emissão de instrumento de contrato, sendo o mesmo substituído pelo empenho.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</w:pPr>
      <w:r w:rsidRPr="008937B5">
        <w:t xml:space="preserve">O fiscal do contrato será o servidor Ariel </w:t>
      </w:r>
      <w:proofErr w:type="spellStart"/>
      <w:r w:rsidRPr="008937B5">
        <w:t>Pitz</w:t>
      </w:r>
      <w:proofErr w:type="spellEnd"/>
      <w:r w:rsidRPr="008937B5">
        <w:t>.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4" w:name="art6xxiiig"/>
      <w:bookmarkEnd w:id="4"/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VII - CRITÉRIOS DE MEDIÇÃO E DE PAGAMENTO: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rFonts w:eastAsia="Arial"/>
        </w:rPr>
      </w:pPr>
      <w:r w:rsidRPr="008937B5">
        <w:rPr>
          <w:rFonts w:eastAsia="Arial"/>
        </w:rPr>
        <w:t>O pagamento será efetuado em até 15 (quinze) dias contados a partir da data da entrega efetiva do serviço, sendo que a mesma deverá estar acompanhada da respectiva Nota Fiscal Eletrônica, com o aceite da Secretaria solicitante, através de seu titular.</w:t>
      </w:r>
    </w:p>
    <w:p w:rsidR="00A61BF3" w:rsidRPr="008937B5" w:rsidRDefault="00A61BF3" w:rsidP="00A61BF3">
      <w:pPr>
        <w:pStyle w:val="NormalWeb"/>
        <w:spacing w:before="225" w:after="225" w:line="360" w:lineRule="auto"/>
        <w:jc w:val="both"/>
        <w:rPr>
          <w:b/>
        </w:rPr>
      </w:pPr>
      <w:bookmarkStart w:id="5" w:name="art6xxiiih"/>
      <w:bookmarkEnd w:id="5"/>
      <w:r w:rsidRPr="008937B5">
        <w:rPr>
          <w:rFonts w:eastAsia="Arial"/>
        </w:rPr>
        <w:t>A nota</w:t>
      </w:r>
      <w:r w:rsidRPr="008937B5">
        <w:rPr>
          <w:rFonts w:eastAsia="Arial"/>
        </w:rPr>
        <w:tab/>
        <w:t xml:space="preserve"> fiscal não aprovada será devolvida para as necessárias correções, com as informações que motivaram sua rejeição, contando-se o prazo estabelecido neste termo de referência, a partir da data de sua reapresentação</w:t>
      </w:r>
      <w:r w:rsidRPr="008937B5">
        <w:rPr>
          <w:color w:val="000000"/>
        </w:rPr>
        <w:t>.</w:t>
      </w:r>
    </w:p>
    <w:p w:rsidR="00A61BF3" w:rsidRPr="008937B5" w:rsidRDefault="00A61BF3" w:rsidP="00A61BF3">
      <w:pPr>
        <w:pStyle w:val="NormalWeb"/>
        <w:spacing w:before="225" w:after="225" w:line="360" w:lineRule="auto"/>
        <w:jc w:val="both"/>
        <w:rPr>
          <w:b/>
        </w:rPr>
      </w:pPr>
      <w:r w:rsidRPr="008937B5">
        <w:rPr>
          <w:b/>
        </w:rPr>
        <w:t>VIII - FORMA E CRITÉRIOS DE SELEÇÃO DO FORNECEDOR:</w:t>
      </w:r>
      <w:bookmarkStart w:id="6" w:name="art6xxiii.i"/>
      <w:bookmarkEnd w:id="6"/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 xml:space="preserve">A empresa a ser contratada deverá apresentar os seguintes documentos: 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Cartão CNPJ;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Municipal (sede da empresa) de Débitos;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Estadual (sede da empresa) de Débitos;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Federal de Débitos;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CRF do FGTS;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de Débitos Trabalhistas (CNDT);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de Falência/Concordata;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  <w:rPr>
          <w:b/>
        </w:rPr>
      </w:pPr>
      <w:r w:rsidRPr="008937B5">
        <w:t>Será empregado o critério de menor preço para a escolha da empresa ganhadora.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IX – Estimativas do valor da contratação: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1828"/>
        <w:gridCol w:w="1119"/>
        <w:gridCol w:w="1464"/>
        <w:gridCol w:w="1502"/>
        <w:gridCol w:w="1928"/>
      </w:tblGrid>
      <w:tr w:rsidR="00A61BF3" w:rsidRPr="008937B5" w:rsidTr="00A22FA4">
        <w:tc>
          <w:tcPr>
            <w:tcW w:w="1418" w:type="dxa"/>
          </w:tcPr>
          <w:p w:rsidR="00A61BF3" w:rsidRPr="008937B5" w:rsidRDefault="00A61BF3" w:rsidP="00A22FA4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Item</w:t>
            </w:r>
          </w:p>
        </w:tc>
        <w:tc>
          <w:tcPr>
            <w:tcW w:w="1948" w:type="dxa"/>
            <w:shd w:val="clear" w:color="auto" w:fill="auto"/>
          </w:tcPr>
          <w:p w:rsidR="00A61BF3" w:rsidRPr="008937B5" w:rsidRDefault="00A61BF3" w:rsidP="00A22FA4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Descrição</w:t>
            </w:r>
          </w:p>
        </w:tc>
        <w:tc>
          <w:tcPr>
            <w:tcW w:w="1173" w:type="dxa"/>
            <w:shd w:val="clear" w:color="auto" w:fill="auto"/>
          </w:tcPr>
          <w:p w:rsidR="00A61BF3" w:rsidRPr="008937B5" w:rsidRDefault="00A61BF3" w:rsidP="00A22FA4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</w:tcPr>
          <w:p w:rsidR="00A61BF3" w:rsidRPr="008937B5" w:rsidRDefault="00A61BF3" w:rsidP="00A22FA4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Quantidade</w:t>
            </w:r>
          </w:p>
        </w:tc>
        <w:tc>
          <w:tcPr>
            <w:tcW w:w="1691" w:type="dxa"/>
            <w:shd w:val="clear" w:color="auto" w:fill="auto"/>
          </w:tcPr>
          <w:p w:rsidR="00A61BF3" w:rsidRPr="008937B5" w:rsidRDefault="00A61BF3" w:rsidP="00A22FA4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Valor Unitário</w:t>
            </w:r>
          </w:p>
        </w:tc>
        <w:tc>
          <w:tcPr>
            <w:tcW w:w="2341" w:type="dxa"/>
            <w:shd w:val="clear" w:color="auto" w:fill="auto"/>
          </w:tcPr>
          <w:p w:rsidR="00A61BF3" w:rsidRPr="008937B5" w:rsidRDefault="00A61BF3" w:rsidP="00A22FA4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Valor Total</w:t>
            </w:r>
          </w:p>
        </w:tc>
      </w:tr>
      <w:tr w:rsidR="00A61BF3" w:rsidRPr="008937B5" w:rsidTr="00A22FA4">
        <w:trPr>
          <w:trHeight w:val="1645"/>
        </w:trPr>
        <w:tc>
          <w:tcPr>
            <w:tcW w:w="1418" w:type="dxa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Adesivo Modelo Padrão PMSC para VTR-PM</w:t>
            </w:r>
            <w:r w:rsidRPr="008937B5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</w:t>
            </w:r>
          </w:p>
        </w:tc>
      </w:tr>
      <w:tr w:rsidR="00A61BF3" w:rsidRPr="008937B5" w:rsidTr="00A22FA4">
        <w:trPr>
          <w:trHeight w:val="1645"/>
        </w:trPr>
        <w:tc>
          <w:tcPr>
            <w:tcW w:w="1418" w:type="dxa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Plataforma Modular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</w:t>
            </w:r>
          </w:p>
        </w:tc>
      </w:tr>
      <w:tr w:rsidR="00A61BF3" w:rsidRPr="008937B5" w:rsidTr="00A22FA4">
        <w:trPr>
          <w:trHeight w:val="1645"/>
        </w:trPr>
        <w:tc>
          <w:tcPr>
            <w:tcW w:w="1418" w:type="dxa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Cone emborrachado 75cm Personalizado PMSC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</w:t>
            </w:r>
          </w:p>
        </w:tc>
      </w:tr>
      <w:tr w:rsidR="00A61BF3" w:rsidRPr="008937B5" w:rsidTr="00A22FA4">
        <w:trPr>
          <w:trHeight w:val="1645"/>
        </w:trPr>
        <w:tc>
          <w:tcPr>
            <w:tcW w:w="1418" w:type="dxa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Cavalete Personalizado PMSC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 xml:space="preserve"> 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</w:t>
            </w:r>
          </w:p>
        </w:tc>
      </w:tr>
      <w:tr w:rsidR="00A61BF3" w:rsidRPr="008937B5" w:rsidTr="00A22FA4">
        <w:trPr>
          <w:trHeight w:val="607"/>
        </w:trPr>
        <w:tc>
          <w:tcPr>
            <w:tcW w:w="7774" w:type="dxa"/>
            <w:gridSpan w:val="5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8937B5">
              <w:rPr>
                <w:rFonts w:eastAsia="Calibri"/>
                <w:b/>
                <w:szCs w:val="24"/>
              </w:rPr>
              <w:t xml:space="preserve">Valor Total 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61BF3" w:rsidRPr="008937B5" w:rsidRDefault="00A61BF3" w:rsidP="00A22FA4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R$</w:t>
            </w:r>
            <w:bookmarkStart w:id="7" w:name="_GoBack"/>
            <w:bookmarkEnd w:id="7"/>
          </w:p>
        </w:tc>
      </w:tr>
    </w:tbl>
    <w:p w:rsidR="00A61BF3" w:rsidRPr="008937B5" w:rsidRDefault="00A61BF3" w:rsidP="00A61BF3">
      <w:pPr>
        <w:spacing w:line="360" w:lineRule="auto"/>
        <w:rPr>
          <w:rFonts w:eastAsia="Calibri"/>
          <w:szCs w:val="24"/>
        </w:rPr>
      </w:pPr>
    </w:p>
    <w:p w:rsidR="00A61BF3" w:rsidRPr="008937B5" w:rsidRDefault="00A61BF3" w:rsidP="00A61BF3">
      <w:pPr>
        <w:pStyle w:val="NormalWeb"/>
        <w:spacing w:before="0" w:beforeAutospacing="0" w:after="0" w:afterAutospacing="0"/>
        <w:jc w:val="both"/>
      </w:pPr>
      <w:bookmarkStart w:id="8" w:name="art6xxiiij"/>
      <w:bookmarkEnd w:id="8"/>
    </w:p>
    <w:p w:rsidR="00A61BF3" w:rsidRPr="008937B5" w:rsidRDefault="00A61BF3" w:rsidP="00A61BF3">
      <w:pPr>
        <w:pStyle w:val="NormalWeb"/>
        <w:spacing w:before="0" w:beforeAutospacing="0" w:after="0" w:afterAutospacing="0"/>
        <w:jc w:val="both"/>
        <w:rPr>
          <w:b/>
        </w:rPr>
      </w:pPr>
      <w:r w:rsidRPr="008937B5">
        <w:rPr>
          <w:b/>
        </w:rPr>
        <w:t>X - ADEQUAÇÃO ORÇAMENTÁRIA:</w:t>
      </w:r>
    </w:p>
    <w:p w:rsidR="00A61BF3" w:rsidRPr="008937B5" w:rsidRDefault="00A61BF3" w:rsidP="00A61BF3">
      <w:pPr>
        <w:pStyle w:val="NormalWeb"/>
        <w:spacing w:before="0" w:beforeAutospacing="0" w:after="0" w:afterAutospacing="0"/>
        <w:jc w:val="both"/>
        <w:rPr>
          <w:b/>
        </w:rPr>
      </w:pPr>
    </w:p>
    <w:p w:rsidR="00A61BF3" w:rsidRPr="008937B5" w:rsidRDefault="00A61BF3" w:rsidP="00A61BF3">
      <w:pPr>
        <w:rPr>
          <w:szCs w:val="24"/>
        </w:rPr>
      </w:pPr>
      <w:r w:rsidRPr="008937B5">
        <w:rPr>
          <w:b/>
          <w:bCs/>
          <w:szCs w:val="24"/>
        </w:rPr>
        <w:t>Órgão</w:t>
      </w:r>
      <w:r w:rsidRPr="008937B5">
        <w:rPr>
          <w:szCs w:val="24"/>
        </w:rPr>
        <w:t>: 06 – Secretaria de Infraestrutura</w:t>
      </w:r>
    </w:p>
    <w:p w:rsidR="00A61BF3" w:rsidRPr="008937B5" w:rsidRDefault="00A61BF3" w:rsidP="00A61BF3">
      <w:pPr>
        <w:rPr>
          <w:szCs w:val="24"/>
        </w:rPr>
      </w:pPr>
      <w:r w:rsidRPr="008937B5">
        <w:rPr>
          <w:b/>
          <w:bCs/>
          <w:szCs w:val="24"/>
        </w:rPr>
        <w:t>Unidade</w:t>
      </w:r>
      <w:r w:rsidRPr="008937B5">
        <w:rPr>
          <w:szCs w:val="24"/>
        </w:rPr>
        <w:t>: 01 – Secretaria de Infraestrutura</w:t>
      </w:r>
    </w:p>
    <w:p w:rsidR="00A61BF3" w:rsidRPr="008937B5" w:rsidRDefault="00A61BF3" w:rsidP="00A61BF3">
      <w:pPr>
        <w:rPr>
          <w:szCs w:val="24"/>
        </w:rPr>
      </w:pPr>
      <w:r w:rsidRPr="008937B5">
        <w:rPr>
          <w:b/>
          <w:bCs/>
          <w:szCs w:val="24"/>
        </w:rPr>
        <w:t>Projeto/Atividade</w:t>
      </w:r>
      <w:r w:rsidRPr="008937B5">
        <w:rPr>
          <w:szCs w:val="24"/>
        </w:rPr>
        <w:t>: 2.035 – Manutenção dos serviços do trânsito</w:t>
      </w:r>
    </w:p>
    <w:p w:rsidR="00A61BF3" w:rsidRPr="008937B5" w:rsidRDefault="00A61BF3" w:rsidP="00A61BF3">
      <w:pPr>
        <w:rPr>
          <w:szCs w:val="24"/>
        </w:rPr>
      </w:pPr>
      <w:r w:rsidRPr="008937B5">
        <w:rPr>
          <w:b/>
          <w:bCs/>
          <w:szCs w:val="24"/>
        </w:rPr>
        <w:t>Despesa:</w:t>
      </w:r>
      <w:r w:rsidRPr="008937B5">
        <w:rPr>
          <w:szCs w:val="24"/>
        </w:rPr>
        <w:t xml:space="preserve"> 134 – 3.3.90.00.00.00.00.00.01.752.700400000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XI – Especificação do produto: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ind w:right="668"/>
        <w:jc w:val="both"/>
      </w:pPr>
      <w:r w:rsidRPr="008937B5"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 w:rsidRPr="008937B5">
        <w:t>n.º</w:t>
      </w:r>
      <w:proofErr w:type="gramEnd"/>
      <w:r w:rsidRPr="008937B5">
        <w:t xml:space="preserve"> 14.133, de 1º de abril de 2021, bem como os catálogos constantes no PNCP (Portal Nacional de Contratações Públicas), sendo que o referido objeto não encontra-se ainda previsto no referido catálogo.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9" w:name="art40§1ii"/>
      <w:bookmarkEnd w:id="9"/>
      <w:r w:rsidRPr="008937B5">
        <w:rPr>
          <w:b/>
        </w:rPr>
        <w:t>XII – Locais de entrega: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  <w:r w:rsidRPr="008937B5">
        <w:t>Os</w:t>
      </w:r>
      <w:r>
        <w:t xml:space="preserve"> materiais e equipamentos deverão ser entregues do Grupamento PM de Antônio Carlos.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10" w:name="art40§1iii"/>
      <w:bookmarkEnd w:id="10"/>
      <w:r w:rsidRPr="008937B5">
        <w:rPr>
          <w:b/>
        </w:rPr>
        <w:t>XIII – Especificação da garantia exigida e das condições de manutenção e assistência técnica:</w:t>
      </w:r>
    </w:p>
    <w:p w:rsidR="00A61BF3" w:rsidRDefault="00A61BF3" w:rsidP="00A61BF3">
      <w:pPr>
        <w:pStyle w:val="NormalWeb"/>
        <w:spacing w:before="0" w:beforeAutospacing="0" w:after="0" w:afterAutospacing="0" w:line="360" w:lineRule="auto"/>
        <w:jc w:val="both"/>
      </w:pPr>
      <w:r>
        <w:t xml:space="preserve">Não há. 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both"/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right"/>
      </w:pP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right"/>
      </w:pPr>
      <w:r w:rsidRPr="008937B5">
        <w:t xml:space="preserve">Antônio Carlos, </w:t>
      </w:r>
      <w:r>
        <w:t>03</w:t>
      </w:r>
      <w:r w:rsidRPr="008937B5">
        <w:t xml:space="preserve"> de </w:t>
      </w:r>
      <w:r>
        <w:t>dezembro</w:t>
      </w:r>
      <w:r w:rsidRPr="008937B5">
        <w:t xml:space="preserve"> de</w:t>
      </w:r>
      <w:r w:rsidRPr="008937B5">
        <w:rPr>
          <w:color w:val="FF0000"/>
        </w:rPr>
        <w:t xml:space="preserve"> </w:t>
      </w:r>
      <w:r w:rsidRPr="008937B5">
        <w:t>2024</w:t>
      </w:r>
    </w:p>
    <w:p w:rsidR="00A61BF3" w:rsidRPr="008937B5" w:rsidRDefault="00A61BF3" w:rsidP="00A61BF3">
      <w:pPr>
        <w:pStyle w:val="NormalWeb"/>
        <w:spacing w:before="0" w:beforeAutospacing="0" w:after="0" w:afterAutospacing="0" w:line="360" w:lineRule="auto"/>
        <w:jc w:val="center"/>
      </w:pPr>
    </w:p>
    <w:p w:rsidR="00A61BF3" w:rsidRPr="008937B5" w:rsidRDefault="00A61BF3" w:rsidP="00A61BF3">
      <w:pPr>
        <w:pStyle w:val="NormalWeb"/>
        <w:spacing w:before="0" w:beforeAutospacing="0" w:after="0" w:afterAutospacing="0"/>
        <w:jc w:val="center"/>
      </w:pPr>
      <w:r w:rsidRPr="008937B5">
        <w:t>_____________________________</w:t>
      </w:r>
      <w:r>
        <w:t>_________________</w:t>
      </w:r>
    </w:p>
    <w:p w:rsidR="00A61BF3" w:rsidRPr="008937B5" w:rsidRDefault="00A61BF3" w:rsidP="00A61BF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proofErr w:type="spellStart"/>
      <w:r w:rsidRPr="008937B5">
        <w:rPr>
          <w:color w:val="000000"/>
        </w:rPr>
        <w:t>Elliz</w:t>
      </w:r>
      <w:proofErr w:type="spellEnd"/>
      <w:r w:rsidRPr="008937B5">
        <w:rPr>
          <w:color w:val="000000"/>
        </w:rPr>
        <w:t xml:space="preserve"> </w:t>
      </w:r>
      <w:proofErr w:type="spellStart"/>
      <w:r w:rsidRPr="008937B5">
        <w:rPr>
          <w:color w:val="000000"/>
        </w:rPr>
        <w:t>Geovânia</w:t>
      </w:r>
      <w:proofErr w:type="spellEnd"/>
      <w:r w:rsidRPr="008937B5">
        <w:rPr>
          <w:color w:val="000000"/>
        </w:rPr>
        <w:t xml:space="preserve"> Silveira</w:t>
      </w:r>
    </w:p>
    <w:p w:rsidR="00A61BF3" w:rsidRPr="008937B5" w:rsidRDefault="00A61BF3" w:rsidP="00A61BF3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937B5">
        <w:rPr>
          <w:color w:val="000000"/>
        </w:rPr>
        <w:t>Secretária de Administração e Finanças</w:t>
      </w:r>
    </w:p>
    <w:p w:rsidR="00A61BF3" w:rsidRPr="00AB07D4" w:rsidRDefault="00A61BF3" w:rsidP="00A61BF3">
      <w:pPr>
        <w:pStyle w:val="NormalWeb"/>
        <w:spacing w:before="0" w:beforeAutospacing="0" w:after="0" w:afterAutospacing="0" w:line="360" w:lineRule="auto"/>
        <w:jc w:val="center"/>
      </w:pPr>
    </w:p>
    <w:p w:rsidR="00A61BF3" w:rsidRDefault="00A61BF3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</w:p>
    <w:sectPr w:rsidR="00A61BF3" w:rsidSect="000F4EA5">
      <w:headerReference w:type="default" r:id="rId10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37358"/>
    <w:rsid w:val="00054D0E"/>
    <w:rsid w:val="00055F80"/>
    <w:rsid w:val="000610BA"/>
    <w:rsid w:val="00082014"/>
    <w:rsid w:val="000911B1"/>
    <w:rsid w:val="000F0212"/>
    <w:rsid w:val="000F4EA5"/>
    <w:rsid w:val="001031FB"/>
    <w:rsid w:val="0010363A"/>
    <w:rsid w:val="001206E8"/>
    <w:rsid w:val="00124B23"/>
    <w:rsid w:val="00130AD4"/>
    <w:rsid w:val="001A24B5"/>
    <w:rsid w:val="001B4C47"/>
    <w:rsid w:val="001B6DC3"/>
    <w:rsid w:val="001D31B1"/>
    <w:rsid w:val="001E1201"/>
    <w:rsid w:val="001F671C"/>
    <w:rsid w:val="00226EF0"/>
    <w:rsid w:val="00235680"/>
    <w:rsid w:val="00256C70"/>
    <w:rsid w:val="002B1AEA"/>
    <w:rsid w:val="002C4AD9"/>
    <w:rsid w:val="002D1F3B"/>
    <w:rsid w:val="002F3814"/>
    <w:rsid w:val="00342C8A"/>
    <w:rsid w:val="00360D49"/>
    <w:rsid w:val="00376EC6"/>
    <w:rsid w:val="003A1D67"/>
    <w:rsid w:val="003B3E51"/>
    <w:rsid w:val="003E64F4"/>
    <w:rsid w:val="003F4900"/>
    <w:rsid w:val="00461E9D"/>
    <w:rsid w:val="004A754A"/>
    <w:rsid w:val="004B09D3"/>
    <w:rsid w:val="004F59CA"/>
    <w:rsid w:val="00522D0E"/>
    <w:rsid w:val="00533E47"/>
    <w:rsid w:val="00544A24"/>
    <w:rsid w:val="00577EF5"/>
    <w:rsid w:val="005802A6"/>
    <w:rsid w:val="00591295"/>
    <w:rsid w:val="005963A5"/>
    <w:rsid w:val="005B3383"/>
    <w:rsid w:val="005E71C3"/>
    <w:rsid w:val="005F2F7C"/>
    <w:rsid w:val="005F7EC8"/>
    <w:rsid w:val="0060215B"/>
    <w:rsid w:val="00641E0E"/>
    <w:rsid w:val="0064635C"/>
    <w:rsid w:val="006705C4"/>
    <w:rsid w:val="00670754"/>
    <w:rsid w:val="00685BBB"/>
    <w:rsid w:val="006977FC"/>
    <w:rsid w:val="006C371D"/>
    <w:rsid w:val="00700341"/>
    <w:rsid w:val="007042E2"/>
    <w:rsid w:val="00706A01"/>
    <w:rsid w:val="00721601"/>
    <w:rsid w:val="00762B35"/>
    <w:rsid w:val="007803A4"/>
    <w:rsid w:val="007972D5"/>
    <w:rsid w:val="0079788B"/>
    <w:rsid w:val="007F56E8"/>
    <w:rsid w:val="0080175B"/>
    <w:rsid w:val="008475EB"/>
    <w:rsid w:val="00885996"/>
    <w:rsid w:val="008A2FC4"/>
    <w:rsid w:val="008B4B2A"/>
    <w:rsid w:val="008D7474"/>
    <w:rsid w:val="008E371E"/>
    <w:rsid w:val="00905E48"/>
    <w:rsid w:val="00917F7E"/>
    <w:rsid w:val="0095126C"/>
    <w:rsid w:val="00976FC9"/>
    <w:rsid w:val="00987997"/>
    <w:rsid w:val="009A2250"/>
    <w:rsid w:val="009C6AEB"/>
    <w:rsid w:val="00A011E7"/>
    <w:rsid w:val="00A61BF3"/>
    <w:rsid w:val="00A7415D"/>
    <w:rsid w:val="00B759F8"/>
    <w:rsid w:val="00B91DB9"/>
    <w:rsid w:val="00BA0D59"/>
    <w:rsid w:val="00BC2A3C"/>
    <w:rsid w:val="00BD327F"/>
    <w:rsid w:val="00BE7B1D"/>
    <w:rsid w:val="00C063A8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DE49AD"/>
    <w:rsid w:val="00DF387A"/>
    <w:rsid w:val="00E75B77"/>
    <w:rsid w:val="00E82339"/>
    <w:rsid w:val="00EC2E78"/>
    <w:rsid w:val="00ED4DED"/>
    <w:rsid w:val="00EF65E9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E3B217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  <w:style w:type="paragraph" w:customStyle="1" w:styleId="A290570">
    <w:name w:val="_A290570"/>
    <w:basedOn w:val="Normal"/>
    <w:rsid w:val="001E1201"/>
    <w:pPr>
      <w:suppressAutoHyphens/>
      <w:autoSpaceDE/>
      <w:autoSpaceDN/>
      <w:ind w:left="576" w:firstLine="4032"/>
      <w:jc w:val="both"/>
    </w:pPr>
    <w:rPr>
      <w:sz w:val="24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oniocarl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17B8-DCFB-4C6A-8C62-4F05ABFD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985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Desktop</cp:lastModifiedBy>
  <cp:revision>65</cp:revision>
  <cp:lastPrinted>2024-08-07T13:19:00Z</cp:lastPrinted>
  <dcterms:created xsi:type="dcterms:W3CDTF">2024-06-05T20:24:00Z</dcterms:created>
  <dcterms:modified xsi:type="dcterms:W3CDTF">2024-12-03T19:12:00Z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