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E0835FA" w14:textId="77777777" w:rsidR="00491B65" w:rsidRDefault="00491B65" w:rsidP="00491B65">
      <w:pPr>
        <w:spacing w:line="312" w:lineRule="auto"/>
        <w:jc w:val="center"/>
        <w:rPr>
          <w:rFonts w:ascii="Palatino Linotype" w:eastAsiaTheme="minorHAnsi" w:hAnsi="Palatino Linotype"/>
          <w:b/>
          <w:szCs w:val="24"/>
          <w:lang w:eastAsia="en-US"/>
        </w:rPr>
      </w:pPr>
      <w:r>
        <w:rPr>
          <w:rFonts w:ascii="Palatino Linotype" w:hAnsi="Palatino Linotype"/>
          <w:b/>
          <w:szCs w:val="24"/>
        </w:rPr>
        <w:t xml:space="preserve">MINUTA DE DECRETO Nº_______, DE ____DE _______ </w:t>
      </w:r>
      <w:proofErr w:type="spellStart"/>
      <w:r>
        <w:rPr>
          <w:rFonts w:ascii="Palatino Linotype" w:hAnsi="Palatino Linotype"/>
          <w:b/>
          <w:szCs w:val="24"/>
        </w:rPr>
        <w:t>DE</w:t>
      </w:r>
      <w:proofErr w:type="spellEnd"/>
      <w:r>
        <w:rPr>
          <w:rFonts w:ascii="Palatino Linotype" w:hAnsi="Palatino Linotype"/>
          <w:b/>
          <w:szCs w:val="24"/>
        </w:rPr>
        <w:t xml:space="preserve"> 2020.</w:t>
      </w:r>
    </w:p>
    <w:p w14:paraId="6C0B74E2" w14:textId="77777777" w:rsidR="00491B65" w:rsidRDefault="00491B65" w:rsidP="00491B65">
      <w:pPr>
        <w:pStyle w:val="Default"/>
        <w:spacing w:line="312" w:lineRule="auto"/>
        <w:ind w:left="2835"/>
        <w:jc w:val="both"/>
        <w:rPr>
          <w:rFonts w:ascii="Palatino Linotype" w:hAnsi="Palatino Linotype" w:cs="Arial"/>
        </w:rPr>
      </w:pPr>
    </w:p>
    <w:p w14:paraId="0E9003BB" w14:textId="77777777" w:rsidR="00491B65" w:rsidRDefault="00491B65" w:rsidP="00491B65">
      <w:pPr>
        <w:pStyle w:val="Default"/>
        <w:spacing w:line="312" w:lineRule="auto"/>
        <w:ind w:left="2835"/>
        <w:jc w:val="both"/>
        <w:rPr>
          <w:rFonts w:ascii="Palatino Linotype" w:hAnsi="Palatino Linotype" w:cs="Arial"/>
          <w:bCs/>
        </w:rPr>
      </w:pPr>
      <w:r>
        <w:rPr>
          <w:rFonts w:ascii="Palatino Linotype" w:hAnsi="Palatino Linotype" w:cs="Arial"/>
          <w:bCs/>
        </w:rPr>
        <w:t xml:space="preserve">Regulamenta, no âmbito municipal, a Lei Federal nº 14.017, de 29 de julho de 2020, que dispõe sobre ações emergenciais destinadas ao setor cultural a serem adotadas durante o estado de calamidade pública reconhecido pelo </w:t>
      </w:r>
      <w:r w:rsidRPr="00804B13">
        <w:rPr>
          <w:rFonts w:ascii="Palatino Linotype" w:hAnsi="Palatino Linotype" w:cs="Arial"/>
          <w:bCs/>
          <w:color w:val="auto"/>
        </w:rPr>
        <w:t xml:space="preserve">Decreto nº 6, de 20 de março de 2020, </w:t>
      </w:r>
      <w:r>
        <w:rPr>
          <w:rFonts w:ascii="Palatino Linotype" w:hAnsi="Palatino Linotype" w:cs="Arial"/>
          <w:bCs/>
        </w:rPr>
        <w:t>institui a Comissão de Acompanhamento e Fiscalização dos recursos a serem repassados e dá outras providências.</w:t>
      </w:r>
    </w:p>
    <w:p w14:paraId="45EBD9B3" w14:textId="77777777" w:rsidR="00491B65" w:rsidRDefault="00491B65" w:rsidP="00491B65">
      <w:pPr>
        <w:pStyle w:val="Default"/>
        <w:spacing w:line="312" w:lineRule="auto"/>
        <w:rPr>
          <w:rFonts w:ascii="Palatino Linotype" w:hAnsi="Palatino Linotype" w:cs="Arial"/>
          <w:bCs/>
          <w:iCs/>
        </w:rPr>
      </w:pPr>
    </w:p>
    <w:p w14:paraId="040B8DC9" w14:textId="069FC306" w:rsidR="00491B65" w:rsidRDefault="00491B65" w:rsidP="00491B65">
      <w:pPr>
        <w:pStyle w:val="Default"/>
        <w:spacing w:after="120" w:line="312" w:lineRule="auto"/>
        <w:ind w:firstLine="1134"/>
        <w:jc w:val="both"/>
        <w:rPr>
          <w:rFonts w:ascii="Palatino Linotype" w:hAnsi="Palatino Linotype" w:cs="Arial"/>
        </w:rPr>
      </w:pPr>
      <w:r>
        <w:rPr>
          <w:rFonts w:ascii="Palatino Linotype" w:hAnsi="Palatino Linotype" w:cs="Arial"/>
          <w:bCs/>
        </w:rPr>
        <w:t xml:space="preserve">O Prefeito do Município de </w:t>
      </w:r>
      <w:r w:rsidR="00804B13">
        <w:rPr>
          <w:rFonts w:ascii="Palatino Linotype" w:hAnsi="Palatino Linotype" w:cs="Arial"/>
          <w:bCs/>
        </w:rPr>
        <w:t>Antônio Carlos,</w:t>
      </w:r>
      <w:r>
        <w:rPr>
          <w:rFonts w:ascii="Palatino Linotype" w:hAnsi="Palatino Linotype" w:cs="Arial"/>
        </w:rPr>
        <w:t xml:space="preserve"> Estado de Santa Catarina, no uso das atribuições que lhe são conferidas pelo inciso </w:t>
      </w:r>
      <w:r w:rsidR="00EA3E26">
        <w:rPr>
          <w:rFonts w:ascii="Palatino Linotype" w:hAnsi="Palatino Linotype" w:cs="Arial"/>
        </w:rPr>
        <w:t xml:space="preserve">VI </w:t>
      </w:r>
      <w:r>
        <w:rPr>
          <w:rFonts w:ascii="Palatino Linotype" w:hAnsi="Palatino Linotype" w:cs="Arial"/>
        </w:rPr>
        <w:t xml:space="preserve">do art. </w:t>
      </w:r>
      <w:r w:rsidR="00EA3E26">
        <w:rPr>
          <w:rFonts w:ascii="Palatino Linotype" w:hAnsi="Palatino Linotype" w:cs="Arial"/>
        </w:rPr>
        <w:t>56</w:t>
      </w:r>
      <w:r>
        <w:rPr>
          <w:rFonts w:ascii="Palatino Linotype" w:hAnsi="Palatino Linotype" w:cs="Arial"/>
        </w:rPr>
        <w:t xml:space="preserve"> da Lei Orgânica Municipal</w:t>
      </w:r>
      <w:r w:rsidR="00EA3E26">
        <w:rPr>
          <w:rFonts w:ascii="Palatino Linotype" w:hAnsi="Palatino Linotype" w:cs="Arial"/>
        </w:rPr>
        <w:t>, lei nº 1/1990</w:t>
      </w:r>
      <w:r>
        <w:rPr>
          <w:rFonts w:ascii="Palatino Linotype" w:hAnsi="Palatino Linotype" w:cs="Arial"/>
        </w:rPr>
        <w:t xml:space="preserve">, e tendo em vista o disposto na lei nº </w:t>
      </w:r>
      <w:r>
        <w:rPr>
          <w:rFonts w:ascii="Palatino Linotype" w:hAnsi="Palatino Linotype"/>
        </w:rPr>
        <w:t>14.017, de 29 de junho de 2020, e no Decreto nº 1</w:t>
      </w:r>
      <w:r w:rsidR="00646462">
        <w:rPr>
          <w:rFonts w:ascii="Palatino Linotype" w:hAnsi="Palatino Linotype"/>
        </w:rPr>
        <w:t>0.464, de 17 de agosto de 2020.</w:t>
      </w:r>
    </w:p>
    <w:p w14:paraId="4A4AFEC2" w14:textId="77777777" w:rsidR="00491B65" w:rsidRDefault="00491B65" w:rsidP="00491B65">
      <w:pPr>
        <w:pStyle w:val="Default"/>
        <w:spacing w:after="120" w:line="312" w:lineRule="auto"/>
        <w:ind w:firstLine="1134"/>
        <w:jc w:val="both"/>
        <w:rPr>
          <w:rFonts w:ascii="Palatino Linotype" w:hAnsi="Palatino Linotype" w:cs="Arial"/>
          <w:b/>
          <w:bCs/>
        </w:rPr>
      </w:pPr>
      <w:r>
        <w:rPr>
          <w:rFonts w:ascii="Palatino Linotype" w:hAnsi="Palatino Linotype" w:cs="Arial"/>
          <w:b/>
          <w:bCs/>
        </w:rPr>
        <w:t xml:space="preserve">DECRETA: </w:t>
      </w:r>
    </w:p>
    <w:p w14:paraId="3A1C2ECB"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Art. 1º Este Decreto regulamenta, no âmbito municipal, a Lei nº 14.017, de 29 de junho de 2020, que dispõe sobre ações emergenciais destinadas ao setor cultural a serem adotadas durante o estado de calamidade pública reconhecido pelo Decreto Legislativo nº 6, de 20 de março de 2020.</w:t>
      </w:r>
    </w:p>
    <w:p w14:paraId="663C052D" w14:textId="28FF6EEB" w:rsidR="00491B65" w:rsidRDefault="00491B65" w:rsidP="00491B65">
      <w:pPr>
        <w:pStyle w:val="Default"/>
        <w:spacing w:after="120" w:line="312" w:lineRule="auto"/>
        <w:ind w:firstLine="1134"/>
        <w:jc w:val="both"/>
        <w:rPr>
          <w:rFonts w:ascii="Palatino Linotype" w:hAnsi="Palatino Linotype" w:cs="Arial"/>
        </w:rPr>
      </w:pPr>
      <w:r>
        <w:rPr>
          <w:rFonts w:ascii="Palatino Linotype" w:hAnsi="Palatino Linotype" w:cs="Arial"/>
          <w:bCs/>
        </w:rPr>
        <w:t xml:space="preserve">Art. 2º O Município de </w:t>
      </w:r>
      <w:r w:rsidR="00804B13">
        <w:rPr>
          <w:rFonts w:ascii="Palatino Linotype" w:hAnsi="Palatino Linotype" w:cs="Arial"/>
          <w:bCs/>
        </w:rPr>
        <w:t>Antônio Carlos,</w:t>
      </w:r>
      <w:r>
        <w:rPr>
          <w:rFonts w:ascii="Palatino Linotype" w:hAnsi="Palatino Linotype" w:cs="Arial"/>
          <w:bCs/>
        </w:rPr>
        <w:t xml:space="preserve"> </w:t>
      </w:r>
      <w:r>
        <w:rPr>
          <w:rFonts w:ascii="Palatino Linotype" w:hAnsi="Palatino Linotype" w:cs="Arial"/>
        </w:rPr>
        <w:t xml:space="preserve">por meio da Secretaria Municipal </w:t>
      </w:r>
      <w:r w:rsidRPr="00804B13">
        <w:rPr>
          <w:rFonts w:ascii="Palatino Linotype" w:hAnsi="Palatino Linotype" w:cs="Arial"/>
          <w:color w:val="auto"/>
        </w:rPr>
        <w:t>de Educação</w:t>
      </w:r>
      <w:r w:rsidR="00804B13" w:rsidRPr="00804B13">
        <w:rPr>
          <w:rFonts w:ascii="Palatino Linotype" w:hAnsi="Palatino Linotype" w:cs="Arial"/>
          <w:color w:val="auto"/>
        </w:rPr>
        <w:t xml:space="preserve"> e </w:t>
      </w:r>
      <w:r w:rsidRPr="00804B13">
        <w:rPr>
          <w:rFonts w:ascii="Palatino Linotype" w:hAnsi="Palatino Linotype" w:cs="Arial"/>
          <w:color w:val="auto"/>
        </w:rPr>
        <w:t xml:space="preserve">Cultura, executará </w:t>
      </w:r>
      <w:r>
        <w:rPr>
          <w:rFonts w:ascii="Palatino Linotype" w:hAnsi="Palatino Linotype" w:cs="Arial"/>
        </w:rPr>
        <w:t>os recursos recebidos da União, nos termos da Lei Federal nº 14.017, de 29 de junho de 2020, competindo-lhe:</w:t>
      </w:r>
    </w:p>
    <w:p w14:paraId="279F6A9D"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rPr>
        <w:t xml:space="preserve">I - </w:t>
      </w:r>
      <w:proofErr w:type="gramStart"/>
      <w:r>
        <w:rPr>
          <w:rFonts w:ascii="Palatino Linotype" w:hAnsi="Palatino Linotype" w:cs="Arial"/>
          <w:bCs/>
        </w:rPr>
        <w:t>distribuir</w:t>
      </w:r>
      <w:proofErr w:type="gramEnd"/>
      <w:r>
        <w:rPr>
          <w:rFonts w:ascii="Palatino Linotype" w:hAnsi="Palatino Linotype" w:cs="Arial"/>
          <w:bCs/>
        </w:rPr>
        <w:t xml:space="preserve"> os subsídios mensais para a manutenção de espaços artísticos e culturais, microempresas e pequenas empresas culturais, cooperativas, instituições e organizações culturais comunitárias que tiveram as suas atividades interrompidas por força das medidas de isolamento social, em observância ao disposto no inciso II do caput do art. 2º da Lei nº 14.017, de 2020; </w:t>
      </w:r>
    </w:p>
    <w:p w14:paraId="29C9C5A7"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 xml:space="preserve">II -  elaborar e publicar editais, chamadas públicas ou  outros  instrumentos aplicáveis  para  prêmios,  aquisição  de  bens  e  serviços  vinculados  ao  setor cultural, manutenção de agentes, de espaços, de iniciativas, de cursos, de produções, de desenvolvimento de atividades de economia criativa e de economia solidária, de </w:t>
      </w:r>
      <w:r>
        <w:rPr>
          <w:rFonts w:ascii="Palatino Linotype" w:hAnsi="Palatino Linotype" w:cs="Arial"/>
          <w:bCs/>
        </w:rPr>
        <w:lastRenderedPageBreak/>
        <w:t>produções audiovisuais, de manifestações culturais, e realização de atividades artísticas e culturais que possam ser transmitidas pela internet ou disponibilizadas por meio de redes sociais e outras plataformas digitais, em observância ao disposto no inciso III do caput do art. 2º da Lei nº 14.017, de2020.</w:t>
      </w:r>
    </w:p>
    <w:p w14:paraId="3CB06F7C" w14:textId="77777777" w:rsidR="00491B65" w:rsidRPr="00B6289E" w:rsidRDefault="00491B65" w:rsidP="00491B65">
      <w:pPr>
        <w:pStyle w:val="Default"/>
        <w:spacing w:after="120" w:line="312" w:lineRule="auto"/>
        <w:ind w:firstLine="1134"/>
        <w:jc w:val="both"/>
        <w:rPr>
          <w:rFonts w:ascii="Palatino Linotype" w:hAnsi="Palatino Linotype" w:cs="Arial"/>
          <w:bCs/>
          <w:color w:val="auto"/>
        </w:rPr>
      </w:pPr>
      <w:r w:rsidRPr="00B6289E">
        <w:rPr>
          <w:rFonts w:ascii="Palatino Linotype" w:hAnsi="Palatino Linotype" w:cs="Arial"/>
          <w:bCs/>
          <w:color w:val="auto"/>
        </w:rPr>
        <w:t>§ 1º Do valor recebido da União, pelo menos vinte por cento serão destinados às ações emergenciais previstas no inciso II do caput.</w:t>
      </w:r>
    </w:p>
    <w:p w14:paraId="57B1BD64" w14:textId="5C339E2A"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 xml:space="preserve">§ 2º Os beneficiários dos recursos contemplados na Lei nº 14.017, de 2020, e neste Decreto deverão residir e estar domiciliados no território </w:t>
      </w:r>
      <w:r w:rsidR="003D3922">
        <w:rPr>
          <w:rFonts w:ascii="Palatino Linotype" w:hAnsi="Palatino Linotype" w:cs="Arial"/>
          <w:bCs/>
        </w:rPr>
        <w:t>municipal</w:t>
      </w:r>
      <w:r>
        <w:rPr>
          <w:rFonts w:ascii="Palatino Linotype" w:hAnsi="Palatino Linotype" w:cs="Arial"/>
          <w:bCs/>
        </w:rPr>
        <w:t xml:space="preserve">. </w:t>
      </w:r>
    </w:p>
    <w:p w14:paraId="58BB7AE5"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 xml:space="preserve">§ 3º O pagamento dos recursos destinados ao cumprimento do disposto nos incisos I e II do </w:t>
      </w:r>
      <w:r w:rsidRPr="00AB73EE">
        <w:rPr>
          <w:rFonts w:ascii="Palatino Linotype" w:hAnsi="Palatino Linotype" w:cs="Arial"/>
          <w:bCs/>
          <w:i/>
        </w:rPr>
        <w:t>caput</w:t>
      </w:r>
      <w:r>
        <w:rPr>
          <w:rFonts w:ascii="Palatino Linotype" w:hAnsi="Palatino Linotype" w:cs="Arial"/>
          <w:bCs/>
        </w:rPr>
        <w:t xml:space="preserve"> fica condicionado à verificação de elegibilidade do beneficiário, realizada por meio de consulta prévia a base de dados em âmbito federal disponibilizada pelo Ministério do Turismo.</w:t>
      </w:r>
    </w:p>
    <w:p w14:paraId="2B668DAB"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 4º A verificação de elegibilidade do beneficiário de que trata o § 3º não dispensa a realização de outras consultas a bases de dados de outros entes federados, cujas informações obtidas deverão ser homologadas pelo Ministério do Turismo.</w:t>
      </w:r>
    </w:p>
    <w:p w14:paraId="185590DF"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Art. 3º O subsídio mensal de que trata o inciso I do caput do art. 2º terá valor mínimo de R$ 3.000,00 (três mil reais) e máximo de R$ 10.000,00 (dez mil reais), de acordo com critérios estabelecidos em edital.</w:t>
      </w:r>
    </w:p>
    <w:p w14:paraId="25A373E2" w14:textId="77777777" w:rsidR="00BB4191" w:rsidRDefault="00491B65" w:rsidP="00491B65">
      <w:pPr>
        <w:pStyle w:val="Default"/>
        <w:spacing w:after="120" w:line="312" w:lineRule="auto"/>
        <w:ind w:firstLine="1134"/>
        <w:jc w:val="both"/>
        <w:rPr>
          <w:rFonts w:ascii="Palatino Linotype" w:hAnsi="Palatino Linotype" w:cs="Arial"/>
          <w:bCs/>
          <w:color w:val="auto"/>
        </w:rPr>
      </w:pPr>
      <w:r>
        <w:rPr>
          <w:rFonts w:ascii="Palatino Linotype" w:hAnsi="Palatino Linotype" w:cs="Arial"/>
          <w:bCs/>
        </w:rPr>
        <w:t>Parágrafo único. Os critérios estabelecidos em edital</w:t>
      </w:r>
      <w:r w:rsidR="00BB4191">
        <w:rPr>
          <w:rFonts w:ascii="Palatino Linotype" w:hAnsi="Palatino Linotype" w:cs="Arial"/>
          <w:bCs/>
        </w:rPr>
        <w:t xml:space="preserve">, os quais terão </w:t>
      </w:r>
      <w:r w:rsidR="00BB4191" w:rsidRPr="00BB4191">
        <w:rPr>
          <w:rFonts w:ascii="Palatino Linotype" w:hAnsi="Palatino Linotype" w:cs="Arial"/>
          <w:bCs/>
        </w:rPr>
        <w:t>ampla transparência e publicidade</w:t>
      </w:r>
      <w:r w:rsidR="00BB4191">
        <w:rPr>
          <w:rFonts w:ascii="Palatino Linotype" w:hAnsi="Palatino Linotype" w:cs="Arial"/>
          <w:bCs/>
        </w:rPr>
        <w:t xml:space="preserve">, </w:t>
      </w:r>
      <w:r>
        <w:rPr>
          <w:rFonts w:ascii="Palatino Linotype" w:hAnsi="Palatino Linotype" w:cs="Arial"/>
          <w:bCs/>
        </w:rPr>
        <w:t>serão informados detalhadamente no relatório de gestão final a que se refere o Anexo I, disponível para preenchimento na Plataforma +Br</w:t>
      </w:r>
      <w:r w:rsidRPr="00BB4191">
        <w:rPr>
          <w:rFonts w:ascii="Palatino Linotype" w:hAnsi="Palatino Linotype" w:cs="Arial"/>
          <w:bCs/>
        </w:rPr>
        <w:t>asi</w:t>
      </w:r>
      <w:r w:rsidRPr="00BB4191">
        <w:rPr>
          <w:rFonts w:ascii="Palatino Linotype" w:hAnsi="Palatino Linotype" w:cs="Arial"/>
          <w:bCs/>
          <w:color w:val="auto"/>
        </w:rPr>
        <w:t>l</w:t>
      </w:r>
      <w:r w:rsidR="00BB4191">
        <w:rPr>
          <w:rFonts w:ascii="Palatino Linotype" w:hAnsi="Palatino Linotype" w:cs="Arial"/>
          <w:bCs/>
          <w:color w:val="auto"/>
        </w:rPr>
        <w:t>.</w:t>
      </w:r>
    </w:p>
    <w:p w14:paraId="0AA179C6" w14:textId="2F2AFC2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 xml:space="preserve">Art. 4º Farão jus ao subsídio mensal previsto no inciso I do caput do art. 2º as entidades de que trata o referido inciso, desde que estejam com suas atividades </w:t>
      </w:r>
      <w:r w:rsidR="003D3922">
        <w:rPr>
          <w:rFonts w:ascii="Palatino Linotype" w:hAnsi="Palatino Linotype" w:cs="Arial"/>
          <w:bCs/>
        </w:rPr>
        <w:t>prejudicadas</w:t>
      </w:r>
      <w:r>
        <w:rPr>
          <w:rFonts w:ascii="Palatino Linotype" w:hAnsi="Palatino Linotype" w:cs="Arial"/>
          <w:bCs/>
        </w:rPr>
        <w:t xml:space="preserve"> e que comprovem a sua inscrição e a homologação em, no mínimo, um dos seguintes cadastros:</w:t>
      </w:r>
    </w:p>
    <w:p w14:paraId="6FC95E25"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I - Cadastros Estaduais de Cultura;</w:t>
      </w:r>
    </w:p>
    <w:p w14:paraId="1B2D9AA5"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II - Cadastros Municipais de Cultura;</w:t>
      </w:r>
    </w:p>
    <w:p w14:paraId="3F926051"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III - Cadastro Distrital de Cultura;</w:t>
      </w:r>
    </w:p>
    <w:p w14:paraId="6D85DBFD"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IV - Cadastro Nacional de Pontos e Pontões de Cultura;</w:t>
      </w:r>
    </w:p>
    <w:p w14:paraId="43556D93"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V - Cadastros Estaduais de Pontos e Pontões de Cultura;</w:t>
      </w:r>
    </w:p>
    <w:p w14:paraId="3F597333"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lastRenderedPageBreak/>
        <w:t>VI - Sistema Nacional de Informações e Indicadores Culturais;</w:t>
      </w:r>
    </w:p>
    <w:p w14:paraId="65A53A5A"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VII - Sistema de Informações Cadastrais do Artesanato Brasileiro; e</w:t>
      </w:r>
    </w:p>
    <w:p w14:paraId="0EBC6BD6" w14:textId="7FB8D5F0"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 xml:space="preserve">VIII - outros cadastros referentes a atividades culturais existentes no âmbito do </w:t>
      </w:r>
      <w:r w:rsidR="00AB73EE">
        <w:rPr>
          <w:rFonts w:ascii="Palatino Linotype" w:hAnsi="Palatino Linotype" w:cs="Arial"/>
          <w:bCs/>
        </w:rPr>
        <w:t xml:space="preserve">Município </w:t>
      </w:r>
      <w:r w:rsidR="00804B13">
        <w:rPr>
          <w:rFonts w:ascii="Palatino Linotype" w:hAnsi="Palatino Linotype" w:cs="Arial"/>
          <w:bCs/>
        </w:rPr>
        <w:t>de Antônio Carlos</w:t>
      </w:r>
      <w:r>
        <w:rPr>
          <w:rFonts w:ascii="Palatino Linotype" w:hAnsi="Palatino Linotype" w:cs="Arial"/>
          <w:bCs/>
        </w:rPr>
        <w:t>, bem como projetos culturais apoiados nos termos da Lei nº 8.313, de 23 de dezembro de 1991, nos vinte e quatro meses imediatamente anteriores à data de publicação da Lei nº 14.017, de 2020.</w:t>
      </w:r>
    </w:p>
    <w:p w14:paraId="6D819BC0"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 1º As entidades de que trata o inciso I do caput do art. 2º deverão apresentar autodeclaração, da qual constarão informações sobre a interrupção de suas atividades e indicação dos cadastros em que estiverem inscritas acompanhados da sua homologação, quando for o caso.</w:t>
      </w:r>
    </w:p>
    <w:p w14:paraId="2040F8A2" w14:textId="5114EE19"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 xml:space="preserve">§ 2º Enquanto perdurar o estado de calamidade pública reconhecido pelo Decreto Legislativo nº 6, de 20 de março de 2020, o município </w:t>
      </w:r>
      <w:r w:rsidRPr="00804B13">
        <w:rPr>
          <w:rFonts w:ascii="Palatino Linotype" w:hAnsi="Palatino Linotype" w:cs="Arial"/>
          <w:bCs/>
          <w:color w:val="auto"/>
        </w:rPr>
        <w:t>adotar</w:t>
      </w:r>
      <w:r w:rsidR="00AB73EE" w:rsidRPr="00804B13">
        <w:rPr>
          <w:rFonts w:ascii="Palatino Linotype" w:hAnsi="Palatino Linotype" w:cs="Arial"/>
          <w:bCs/>
          <w:color w:val="auto"/>
        </w:rPr>
        <w:t>á</w:t>
      </w:r>
      <w:r w:rsidRPr="00804B13">
        <w:rPr>
          <w:rFonts w:ascii="Palatino Linotype" w:hAnsi="Palatino Linotype" w:cs="Arial"/>
          <w:bCs/>
          <w:color w:val="auto"/>
        </w:rPr>
        <w:t xml:space="preserve"> </w:t>
      </w:r>
      <w:r>
        <w:rPr>
          <w:rFonts w:ascii="Palatino Linotype" w:hAnsi="Palatino Linotype" w:cs="Arial"/>
          <w:bCs/>
        </w:rPr>
        <w:t>medidas que garantam inclusões e alterações nas inscrições ou nos cadastros, por meio de autodeclaração ou de apresentação de documentos, preferencialmente de modo não presencial</w:t>
      </w:r>
      <w:r w:rsidR="003A0D5E">
        <w:rPr>
          <w:rFonts w:ascii="Palatino Linotype" w:hAnsi="Palatino Linotype" w:cs="Arial"/>
          <w:bCs/>
        </w:rPr>
        <w:t>,</w:t>
      </w:r>
      <w:r w:rsidR="00AB73EE">
        <w:rPr>
          <w:rFonts w:ascii="Palatino Linotype" w:hAnsi="Palatino Linotype" w:cs="Arial"/>
          <w:bCs/>
        </w:rPr>
        <w:t xml:space="preserve"> </w:t>
      </w:r>
      <w:r w:rsidR="00AB73EE" w:rsidRPr="003D3922">
        <w:rPr>
          <w:rFonts w:ascii="Palatino Linotype" w:hAnsi="Palatino Linotype" w:cs="Arial"/>
          <w:bCs/>
          <w:color w:val="auto"/>
        </w:rPr>
        <w:t>através do e-mail</w:t>
      </w:r>
      <w:r w:rsidR="003D3922">
        <w:rPr>
          <w:rFonts w:ascii="Palatino Linotype" w:hAnsi="Palatino Linotype" w:cs="Arial"/>
          <w:bCs/>
          <w:color w:val="auto"/>
        </w:rPr>
        <w:t>:</w:t>
      </w:r>
      <w:r w:rsidR="003D3922" w:rsidRPr="003D3922">
        <w:rPr>
          <w:rFonts w:ascii="Palatino Linotype" w:hAnsi="Palatino Linotype" w:cs="Arial"/>
          <w:bCs/>
          <w:color w:val="auto"/>
        </w:rPr>
        <w:t xml:space="preserve"> </w:t>
      </w:r>
      <w:hyperlink r:id="rId8" w:history="1">
        <w:r w:rsidR="00785E1D" w:rsidRPr="00B71D26">
          <w:rPr>
            <w:rStyle w:val="Hyperlink"/>
            <w:rFonts w:ascii="Palatino Linotype" w:hAnsi="Palatino Linotype" w:cs="Arial"/>
            <w:bCs/>
          </w:rPr>
          <w:t>coordenador_edu@antoniocarlos.sc.gov.br</w:t>
        </w:r>
      </w:hyperlink>
      <w:r w:rsidR="003D3922">
        <w:rPr>
          <w:rFonts w:ascii="Palatino Linotype" w:hAnsi="Palatino Linotype" w:cs="Arial"/>
          <w:bCs/>
          <w:color w:val="auto"/>
        </w:rPr>
        <w:t xml:space="preserve">. </w:t>
      </w:r>
    </w:p>
    <w:p w14:paraId="778F1745"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 3º O subsídio mensal previsto no inciso I do caput do art. 2º somente será concedido para a gestão responsável pelo espaço cultural, vedado o recebimento cumulativo, mesmo que o beneficiário esteja inscrito em mais de um cadastro ou seja responsável por mais de um espaço cultural.</w:t>
      </w:r>
    </w:p>
    <w:p w14:paraId="477CA9A7"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 4º Após a retomada de suas atividades, as entidades de que trata o inciso I do caput do art. 2º ficam obrigadas a garantir como contrapartida a realização de atividades destinadas, prioritariamente, aos alunos de escolas públicas ou de atividades em espaços públicos de sua comunidade, de forma gratuita, em intervalos regulares, em cooperação e planejamento definido com o ente federativo responsável pela gestão pública cultural do local.</w:t>
      </w:r>
    </w:p>
    <w:p w14:paraId="1485419D" w14:textId="77777777" w:rsidR="00AB73EE" w:rsidRPr="00BB4191" w:rsidRDefault="00491B65" w:rsidP="00AB73EE">
      <w:pPr>
        <w:pStyle w:val="Default"/>
        <w:spacing w:after="120" w:line="312" w:lineRule="auto"/>
        <w:ind w:firstLine="1134"/>
        <w:jc w:val="both"/>
        <w:rPr>
          <w:rFonts w:ascii="Palatino Linotype" w:hAnsi="Palatino Linotype" w:cs="Arial"/>
          <w:bCs/>
          <w:color w:val="auto"/>
        </w:rPr>
      </w:pPr>
      <w:r>
        <w:rPr>
          <w:rFonts w:ascii="Palatino Linotype" w:hAnsi="Palatino Linotype" w:cs="Arial"/>
          <w:bCs/>
        </w:rPr>
        <w:t>§ 5º Para fins de atendimento ao disposto no art. 9º da Lei nº 14.017, de 2020, os beneficiários do subsídio mensal previsto no inciso I do caput do art. 2º apresentarão ao responsável pela distribuição, juntamente à solicitação do benefício, proposta de atividade de contrapartida em bens ou serviços economicamente mensuráveis</w:t>
      </w:r>
      <w:r w:rsidRPr="00BB4191">
        <w:rPr>
          <w:rFonts w:ascii="Palatino Linotype" w:hAnsi="Palatino Linotype" w:cs="Arial"/>
          <w:bCs/>
          <w:color w:val="auto"/>
        </w:rPr>
        <w:t>.</w:t>
      </w:r>
      <w:r w:rsidR="00AB73EE" w:rsidRPr="00BB4191">
        <w:rPr>
          <w:rFonts w:ascii="Palatino Linotype" w:hAnsi="Palatino Linotype" w:cs="Arial"/>
          <w:bCs/>
          <w:color w:val="auto"/>
        </w:rPr>
        <w:t xml:space="preserve"> E o prazo e condições para a realização desta condição da contrapartida deverá estar definida no edital e no contrato administrativo firmado com a entidade beneficiada.</w:t>
      </w:r>
    </w:p>
    <w:p w14:paraId="5732E49F" w14:textId="77777777" w:rsidR="00491B65" w:rsidRDefault="00BB4191"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lastRenderedPageBreak/>
        <w:t>§ 6</w:t>
      </w:r>
      <w:r w:rsidR="00491B65">
        <w:rPr>
          <w:rFonts w:ascii="Palatino Linotype" w:hAnsi="Palatino Linotype" w:cs="Arial"/>
          <w:bCs/>
        </w:rPr>
        <w:t xml:space="preserve">º Fica vedada a concessão do subsídio mensal previsto no inciso I do caput do art. 2º </w:t>
      </w:r>
      <w:r w:rsidR="00AB73EE">
        <w:rPr>
          <w:rFonts w:ascii="Palatino Linotype" w:hAnsi="Palatino Linotype" w:cs="Arial"/>
          <w:bCs/>
        </w:rPr>
        <w:t xml:space="preserve">deste Decreto </w:t>
      </w:r>
      <w:r w:rsidR="00491B65">
        <w:rPr>
          <w:rFonts w:ascii="Palatino Linotype" w:hAnsi="Palatino Linotype" w:cs="Arial"/>
          <w:bCs/>
        </w:rPr>
        <w:t>a espaços culturais criados pela administração pública de qualquer esfera ou vinculados a ela, bem como a espaços culturais vinculados a fundações, a institutos ou instituições criados ou mantidos por grupos de empresas, a teatros e casas de espetáculos de diversões com financiamento exclusivo de grupos empresariais e a espaços geridos pelos serviços sociais do Sistema S.</w:t>
      </w:r>
    </w:p>
    <w:p w14:paraId="567997A1"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 xml:space="preserve">Art. 5º O beneficiário do subsídio mensal previsto no inciso I do </w:t>
      </w:r>
      <w:r w:rsidRPr="00AB73EE">
        <w:rPr>
          <w:rFonts w:ascii="Palatino Linotype" w:hAnsi="Palatino Linotype" w:cs="Arial"/>
          <w:bCs/>
          <w:i/>
        </w:rPr>
        <w:t>caput</w:t>
      </w:r>
      <w:r>
        <w:rPr>
          <w:rFonts w:ascii="Palatino Linotype" w:hAnsi="Palatino Linotype" w:cs="Arial"/>
          <w:bCs/>
        </w:rPr>
        <w:t xml:space="preserve"> do art. 2º apresentará prestação de contas referente ao uso do benefício ao </w:t>
      </w:r>
      <w:r w:rsidR="00AB73EE" w:rsidRPr="00FD2596">
        <w:rPr>
          <w:rFonts w:ascii="Palatino Linotype" w:hAnsi="Palatino Linotype" w:cs="Arial"/>
          <w:bCs/>
          <w:color w:val="auto"/>
        </w:rPr>
        <w:t xml:space="preserve">Município </w:t>
      </w:r>
      <w:r>
        <w:rPr>
          <w:rFonts w:ascii="Palatino Linotype" w:hAnsi="Palatino Linotype" w:cs="Arial"/>
          <w:bCs/>
        </w:rPr>
        <w:t>no prazo de cento e vinte dias após o recebimento da última parcela do subsídio mensal.</w:t>
      </w:r>
    </w:p>
    <w:p w14:paraId="11BADC99"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 1º A prestação de contas de que trata este artigo deverá comprovar que o subsídio mensal recebido foi utilizado para gastos relativos à manutenção da atividade cultural do beneficiário.</w:t>
      </w:r>
    </w:p>
    <w:p w14:paraId="48AD9CA5"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 2º Os gastos relativos à manutenção da atividade cultural do beneficiário poderão incluir despesas realizadas com:</w:t>
      </w:r>
    </w:p>
    <w:p w14:paraId="475F2F39"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I - Internet;</w:t>
      </w:r>
    </w:p>
    <w:p w14:paraId="29A369E9"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II - Transporte;</w:t>
      </w:r>
    </w:p>
    <w:p w14:paraId="7D22DF11"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III - Aluguel;</w:t>
      </w:r>
    </w:p>
    <w:p w14:paraId="3DD47DB2"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IV - Telefone;</w:t>
      </w:r>
    </w:p>
    <w:p w14:paraId="1BE6EC82"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V - Consumo de água e luz; e</w:t>
      </w:r>
    </w:p>
    <w:p w14:paraId="050BFEB6"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VI - Outras despesas relativas à manutenção da atividade cultural do beneficiário.</w:t>
      </w:r>
    </w:p>
    <w:p w14:paraId="38374A89"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 3º O</w:t>
      </w:r>
      <w:r w:rsidRPr="003A0D5E">
        <w:rPr>
          <w:rFonts w:ascii="Palatino Linotype" w:hAnsi="Palatino Linotype" w:cs="Arial"/>
          <w:bCs/>
          <w:color w:val="auto"/>
        </w:rPr>
        <w:t xml:space="preserve"> </w:t>
      </w:r>
      <w:r w:rsidR="00AB73EE" w:rsidRPr="003A0D5E">
        <w:rPr>
          <w:rFonts w:ascii="Palatino Linotype" w:hAnsi="Palatino Linotype" w:cs="Arial"/>
          <w:bCs/>
          <w:color w:val="auto"/>
        </w:rPr>
        <w:t xml:space="preserve">Município </w:t>
      </w:r>
      <w:r w:rsidRPr="003A0D5E">
        <w:rPr>
          <w:rFonts w:ascii="Palatino Linotype" w:hAnsi="Palatino Linotype" w:cs="Arial"/>
          <w:bCs/>
          <w:color w:val="auto"/>
        </w:rPr>
        <w:t>discrimin</w:t>
      </w:r>
      <w:r>
        <w:rPr>
          <w:rFonts w:ascii="Palatino Linotype" w:hAnsi="Palatino Linotype" w:cs="Arial"/>
          <w:bCs/>
        </w:rPr>
        <w:t xml:space="preserve">ará no relatório de gestão final a que se refere o Anexo I os subsídios concedidos, de modo a especificar se as prestações de contas referidas no </w:t>
      </w:r>
      <w:r w:rsidRPr="00AB73EE">
        <w:rPr>
          <w:rFonts w:ascii="Palatino Linotype" w:hAnsi="Palatino Linotype" w:cs="Arial"/>
          <w:bCs/>
          <w:i/>
        </w:rPr>
        <w:t>caput</w:t>
      </w:r>
      <w:r>
        <w:rPr>
          <w:rFonts w:ascii="Palatino Linotype" w:hAnsi="Palatino Linotype" w:cs="Arial"/>
          <w:bCs/>
        </w:rPr>
        <w:t xml:space="preserve"> deste artigo foram aprovadas ou não e quais as providências adotadas em caso de terem sido rejeitadas.</w:t>
      </w:r>
    </w:p>
    <w:p w14:paraId="3C332902"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Art. 6º Para fins do disposto neste Decreto, consideram-se espaços culturais aqueles organizados e mantidos por pessoas, organizações da sociedade civil, empresas culturais, organizações culturais comunitárias, cooperativas com finalidade cultural e instituições culturais, com ou sem fins lucrativos, que sejam dedicados a realizar atividades artísticas e culturais, tais como:</w:t>
      </w:r>
    </w:p>
    <w:p w14:paraId="11B91742"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lastRenderedPageBreak/>
        <w:t>I - Pontos e pontões de cultura;</w:t>
      </w:r>
    </w:p>
    <w:p w14:paraId="04BDF72D"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II - Teatros independentes;</w:t>
      </w:r>
    </w:p>
    <w:p w14:paraId="06C035AB"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III - Escolas de música, de capoeira e de artes e estúdios, companhias e escolas de dança;</w:t>
      </w:r>
    </w:p>
    <w:p w14:paraId="16D79D11"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IV - Circos;</w:t>
      </w:r>
    </w:p>
    <w:p w14:paraId="68B154A3"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V - Cineclubes;</w:t>
      </w:r>
    </w:p>
    <w:p w14:paraId="7608EBA5"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VI - Centros culturais, casas de cultura e centros de tradição regionais;</w:t>
      </w:r>
    </w:p>
    <w:p w14:paraId="4F451180"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VII - Museus comunitários, centros de memória e patrimônio;</w:t>
      </w:r>
    </w:p>
    <w:p w14:paraId="27BD3F62"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VIII - Bibliotecas comunitárias;</w:t>
      </w:r>
    </w:p>
    <w:p w14:paraId="22354AF3"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IX - Espaços culturais em comunidades indígenas;</w:t>
      </w:r>
    </w:p>
    <w:p w14:paraId="71891687"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X - Centros artísticos e culturais afro-brasileiros;</w:t>
      </w:r>
    </w:p>
    <w:p w14:paraId="33323979"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XI - Comunidades quilombolas;</w:t>
      </w:r>
    </w:p>
    <w:p w14:paraId="28D39752"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XII - Espaços de povos e comunidades tradicionais;</w:t>
      </w:r>
    </w:p>
    <w:p w14:paraId="5860FFC0"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XIII - Festas populares, inclusive o carnaval e o São João, e outras de caráter regional;</w:t>
      </w:r>
    </w:p>
    <w:p w14:paraId="1C405639"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XIV - Teatro de rua e demais expressões artísticas e culturais realizadas em espaços públicos;</w:t>
      </w:r>
    </w:p>
    <w:p w14:paraId="6B388AA4"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XV - Livrarias, editoras e sebos;</w:t>
      </w:r>
    </w:p>
    <w:p w14:paraId="732BAFC9"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XVI - Empresas de diversão e produção de espetáculos;</w:t>
      </w:r>
    </w:p>
    <w:p w14:paraId="6E0395BF"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XVII - Estúdios de fotografia;</w:t>
      </w:r>
    </w:p>
    <w:p w14:paraId="1A94B79A"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XVIII - Produtoras de cinema e audiovisual;</w:t>
      </w:r>
    </w:p>
    <w:p w14:paraId="5654421F"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XIX - Ateliês de pintura, moda, design e artesanato;</w:t>
      </w:r>
    </w:p>
    <w:p w14:paraId="79797B6C"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XX - Galerias de arte e de fotografias;</w:t>
      </w:r>
    </w:p>
    <w:p w14:paraId="4480C81C"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XXI - Feiras de arte e de artesanato;</w:t>
      </w:r>
    </w:p>
    <w:p w14:paraId="1B89A6FA"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XXII - Espaços de apresentação musical;</w:t>
      </w:r>
    </w:p>
    <w:p w14:paraId="0AD77F45"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XXIII - Espaços de literatura, poesia e literatura de cordel;</w:t>
      </w:r>
    </w:p>
    <w:p w14:paraId="083A2142"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lastRenderedPageBreak/>
        <w:t>XXIV - Espaços e centros de cultura alimentar de base comunitária, agroecológica e de culturas originárias, tradicionais e populares; e</w:t>
      </w:r>
    </w:p>
    <w:p w14:paraId="391A9461"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XXV - Outros espaços e atividades artísticos e culturais validados nos cadastros a que se refere o art. 4º.</w:t>
      </w:r>
    </w:p>
    <w:p w14:paraId="4BBB17F1"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Art. 7º Fica facultado ao município elaborar e publicar editais, chamadas públicas ou outros instrumentos aplicáveis, de que trata o inciso II do caput do art. 2º, por intermédio de seus programas de apoio e financiamento à cultura já existentes ou por meio da criação de programas específicos.</w:t>
      </w:r>
    </w:p>
    <w:p w14:paraId="6392560F"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 1º O município deverá evitar que os recursos aplicados se concentrem nos mesmos beneficiários, na mesma região geográfica ou em um número restrito de trabalhadores da cultura ou de instituições culturais.</w:t>
      </w:r>
    </w:p>
    <w:p w14:paraId="7FFC71A9"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 2º O município deverá informar no relatório de gestão final a que se refere o Anexo I:</w:t>
      </w:r>
    </w:p>
    <w:p w14:paraId="12A15609"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I - Os tipos de instrumentos realizados;</w:t>
      </w:r>
    </w:p>
    <w:p w14:paraId="526E51A3"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II - A identificação do instrumento;</w:t>
      </w:r>
    </w:p>
    <w:p w14:paraId="6D3EC728"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III - O total dos valores repassados por meio do instrumento;</w:t>
      </w:r>
    </w:p>
    <w:p w14:paraId="1C6B4DC8"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IV - O quantitativo de beneficiários;</w:t>
      </w:r>
    </w:p>
    <w:p w14:paraId="5B93BC0F"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V - A publicação no Diário Oficial do Município dos resultados dos certames;</w:t>
      </w:r>
    </w:p>
    <w:p w14:paraId="4DA27373"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VI - A comprovação do cumprimento dos objetos pactuados nos instrumentos; e</w:t>
      </w:r>
    </w:p>
    <w:p w14:paraId="6C33E11C"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VII - Na hipótese de não cumprimento integral dos objetos pactuados nos instrumentos, a identificação dos beneficiários e as providências adotadas para recomposição do dano.</w:t>
      </w:r>
    </w:p>
    <w:p w14:paraId="1D4FE350" w14:textId="14A1B448" w:rsidR="00491B65" w:rsidRDefault="00785E1D"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w:t>
      </w:r>
      <w:r w:rsidR="00491B65">
        <w:rPr>
          <w:rFonts w:ascii="Palatino Linotype" w:hAnsi="Palatino Linotype" w:cs="Arial"/>
          <w:bCs/>
        </w:rPr>
        <w:t>3º A comprovação de que trata o inciso VI do caput deverá ser fundamentada nos pareceres de cumprimento do objeto pactuado com cada beneficiário, atestados pelo ente federativo responsável pela distribuição dos recursos.</w:t>
      </w:r>
    </w:p>
    <w:p w14:paraId="1CD03C85" w14:textId="77777777" w:rsidR="00491B65" w:rsidRPr="00FD2596" w:rsidRDefault="00491B65" w:rsidP="00491B65">
      <w:pPr>
        <w:pStyle w:val="Default"/>
        <w:spacing w:after="120" w:line="312" w:lineRule="auto"/>
        <w:ind w:firstLine="1134"/>
        <w:jc w:val="both"/>
        <w:rPr>
          <w:rFonts w:ascii="Palatino Linotype" w:hAnsi="Palatino Linotype" w:cs="Arial"/>
          <w:bCs/>
          <w:color w:val="auto"/>
        </w:rPr>
      </w:pPr>
      <w:r w:rsidRPr="00FD2596">
        <w:rPr>
          <w:rFonts w:ascii="Palatino Linotype" w:hAnsi="Palatino Linotype" w:cs="Arial"/>
          <w:bCs/>
          <w:color w:val="auto"/>
        </w:rPr>
        <w:t xml:space="preserve">§ </w:t>
      </w:r>
      <w:r w:rsidR="00BB4191" w:rsidRPr="00FD2596">
        <w:rPr>
          <w:rFonts w:ascii="Palatino Linotype" w:hAnsi="Palatino Linotype" w:cs="Arial"/>
          <w:bCs/>
          <w:color w:val="auto"/>
        </w:rPr>
        <w:t>4</w:t>
      </w:r>
      <w:r w:rsidRPr="00FD2596">
        <w:rPr>
          <w:rFonts w:ascii="Palatino Linotype" w:hAnsi="Palatino Linotype" w:cs="Arial"/>
          <w:bCs/>
          <w:color w:val="auto"/>
        </w:rPr>
        <w:t xml:space="preserve">º O município deverá dar ampla publicidade às iniciativas apoiadas pelos recursos recebidos na forma prevista no inciso II do caput do art. 2º e transmitidas pela </w:t>
      </w:r>
      <w:r w:rsidRPr="00FD2596">
        <w:rPr>
          <w:rFonts w:ascii="Palatino Linotype" w:hAnsi="Palatino Linotype" w:cs="Arial"/>
          <w:bCs/>
          <w:color w:val="auto"/>
        </w:rPr>
        <w:lastRenderedPageBreak/>
        <w:t>internet ou disponibilizadas por meio de redes sociais e outras plataformas digitais, preferencialmente por meio da divulgação no sítio eletrônico oficial, cujo endereço eletrônico deverá ser informado no relatório de gestão final a que se refere o Anexo I.</w:t>
      </w:r>
    </w:p>
    <w:p w14:paraId="7BAE8697" w14:textId="77777777" w:rsidR="00491B65" w:rsidRDefault="00491B65" w:rsidP="00491B65">
      <w:pPr>
        <w:pStyle w:val="Default"/>
        <w:spacing w:after="120" w:line="312" w:lineRule="auto"/>
        <w:ind w:firstLine="1134"/>
        <w:jc w:val="both"/>
        <w:rPr>
          <w:rFonts w:ascii="Palatino Linotype" w:hAnsi="Palatino Linotype" w:cs="Arial"/>
          <w:bCs/>
        </w:rPr>
      </w:pPr>
      <w:r w:rsidRPr="003A0D5E">
        <w:rPr>
          <w:rFonts w:ascii="Palatino Linotype" w:hAnsi="Palatino Linotype" w:cs="Arial"/>
          <w:bCs/>
        </w:rPr>
        <w:t>Art. 8º Os recursos não</w:t>
      </w:r>
      <w:r>
        <w:rPr>
          <w:rFonts w:ascii="Palatino Linotype" w:hAnsi="Palatino Linotype" w:cs="Arial"/>
          <w:bCs/>
        </w:rPr>
        <w:t xml:space="preserve"> destinados ou que não tenham sido objeto de programação publicada no prazo de sessenta dias após a descentralização serão objeto de reversão ao fundo estadual de cultura do Estado onde o município se localiza ou, na falta deste, ao órgão ou à entidade estadual responsável pela gestão desses recursos.</w:t>
      </w:r>
    </w:p>
    <w:p w14:paraId="716E4B9C" w14:textId="52844EF0" w:rsidR="00491B65" w:rsidRDefault="00785E1D"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Parágrafo</w:t>
      </w:r>
      <w:r w:rsidR="00491B65">
        <w:rPr>
          <w:rFonts w:ascii="Palatino Linotype" w:hAnsi="Palatino Linotype" w:cs="Arial"/>
          <w:bCs/>
        </w:rPr>
        <w:t xml:space="preserve"> </w:t>
      </w:r>
      <w:r w:rsidR="003D3922">
        <w:rPr>
          <w:rFonts w:ascii="Palatino Linotype" w:hAnsi="Palatino Linotype" w:cs="Arial"/>
          <w:bCs/>
        </w:rPr>
        <w:t xml:space="preserve">único. </w:t>
      </w:r>
      <w:r w:rsidR="00491B65">
        <w:rPr>
          <w:rFonts w:ascii="Palatino Linotype" w:hAnsi="Palatino Linotype" w:cs="Arial"/>
          <w:bCs/>
        </w:rPr>
        <w:t xml:space="preserve">O município transferirá os recursos objeto de reversão diretamente da sua conta bancária criada na Plataforma +Brasil para a conta do Estado de que trata o § 4º do art. 11 </w:t>
      </w:r>
      <w:r w:rsidR="003D3922">
        <w:rPr>
          <w:rFonts w:ascii="Palatino Linotype" w:hAnsi="Palatino Linotype" w:cs="Arial"/>
          <w:bCs/>
        </w:rPr>
        <w:t xml:space="preserve">da lei 14.017/2020, </w:t>
      </w:r>
      <w:r w:rsidR="00491B65">
        <w:rPr>
          <w:rFonts w:ascii="Palatino Linotype" w:hAnsi="Palatino Linotype" w:cs="Arial"/>
          <w:bCs/>
        </w:rPr>
        <w:t>no prazo de dez dias, contado da data a que se refere o caput.</w:t>
      </w:r>
    </w:p>
    <w:p w14:paraId="2F578A25" w14:textId="77777777" w:rsidR="00491B65" w:rsidRPr="003A0D5E" w:rsidRDefault="00491B65" w:rsidP="00491B65">
      <w:pPr>
        <w:pStyle w:val="Default"/>
        <w:spacing w:after="120" w:line="312" w:lineRule="auto"/>
        <w:ind w:firstLine="1134"/>
        <w:jc w:val="both"/>
        <w:rPr>
          <w:rFonts w:ascii="Palatino Linotype" w:hAnsi="Palatino Linotype" w:cs="Arial"/>
          <w:bCs/>
          <w:color w:val="auto"/>
        </w:rPr>
      </w:pPr>
      <w:r>
        <w:rPr>
          <w:rFonts w:ascii="Palatino Linotype" w:hAnsi="Palatino Linotype" w:cs="Arial"/>
          <w:bCs/>
        </w:rPr>
        <w:t>Art. 9º O município deverá apresentar o relatório de gestão final a que se refere o Anexo I à Secretaria-Executiva do Ministério do Turismo no prazo de cento e oitenta dias, contado da data em que se encerrar o estado de calamidade pública reconhecido pel</w:t>
      </w:r>
      <w:r w:rsidRPr="003A0D5E">
        <w:rPr>
          <w:rFonts w:ascii="Palatino Linotype" w:hAnsi="Palatino Linotype" w:cs="Arial"/>
          <w:bCs/>
          <w:color w:val="auto"/>
        </w:rPr>
        <w:t>o Decreto Legislativo nº 6, de 2020.</w:t>
      </w:r>
    </w:p>
    <w:p w14:paraId="4C5B8BA0" w14:textId="77777777" w:rsidR="00491B65" w:rsidRPr="003A0D5E" w:rsidRDefault="00491B65" w:rsidP="00491B65">
      <w:pPr>
        <w:pStyle w:val="Default"/>
        <w:spacing w:after="120" w:line="312" w:lineRule="auto"/>
        <w:ind w:firstLine="1134"/>
        <w:jc w:val="both"/>
        <w:rPr>
          <w:rFonts w:ascii="Palatino Linotype" w:hAnsi="Palatino Linotype" w:cs="Arial"/>
          <w:bCs/>
          <w:color w:val="auto"/>
        </w:rPr>
      </w:pPr>
      <w:r w:rsidRPr="003A0D5E">
        <w:rPr>
          <w:rFonts w:ascii="Palatino Linotype" w:hAnsi="Palatino Linotype" w:cs="Arial"/>
          <w:bCs/>
          <w:color w:val="auto"/>
        </w:rPr>
        <w:t>Art. 10. O município dará ampla publicidade e transparência à destinação dos recursos de que trata a Lei nº 14.017, de 2020.</w:t>
      </w:r>
    </w:p>
    <w:p w14:paraId="6F085F53" w14:textId="77777777" w:rsidR="00491B65" w:rsidRDefault="00491B65" w:rsidP="00491B65">
      <w:pPr>
        <w:pStyle w:val="Default"/>
        <w:spacing w:after="120" w:line="312" w:lineRule="auto"/>
        <w:ind w:firstLine="1134"/>
        <w:jc w:val="both"/>
        <w:rPr>
          <w:rFonts w:ascii="Palatino Linotype" w:hAnsi="Palatino Linotype" w:cs="Arial"/>
          <w:bCs/>
        </w:rPr>
      </w:pPr>
      <w:r w:rsidRPr="003A0D5E">
        <w:rPr>
          <w:rFonts w:ascii="Palatino Linotype" w:hAnsi="Palatino Linotype" w:cs="Arial"/>
          <w:bCs/>
          <w:color w:val="auto"/>
        </w:rPr>
        <w:t>Art. 11. O m</w:t>
      </w:r>
      <w:r>
        <w:rPr>
          <w:rFonts w:ascii="Palatino Linotype" w:hAnsi="Palatino Linotype" w:cs="Arial"/>
          <w:bCs/>
        </w:rPr>
        <w:t>unicípio deverá manter a documentação apresentada pelos beneficiários dos recursos a que se refere o art. 2º pelo prazo de dez anos.</w:t>
      </w:r>
    </w:p>
    <w:p w14:paraId="2F3DEA11" w14:textId="77777777" w:rsidR="00491B65" w:rsidRDefault="00491B65" w:rsidP="00491B65">
      <w:pPr>
        <w:pStyle w:val="Default"/>
        <w:spacing w:after="120" w:line="312" w:lineRule="auto"/>
        <w:ind w:firstLine="1134"/>
        <w:jc w:val="both"/>
        <w:rPr>
          <w:rFonts w:ascii="Palatino Linotype" w:hAnsi="Palatino Linotype" w:cs="Arial"/>
        </w:rPr>
      </w:pPr>
      <w:r>
        <w:rPr>
          <w:rFonts w:ascii="Palatino Linotype" w:hAnsi="Palatino Linotype" w:cs="Arial"/>
          <w:bCs/>
        </w:rPr>
        <w:t xml:space="preserve">Art. 12. </w:t>
      </w:r>
      <w:r>
        <w:rPr>
          <w:rFonts w:ascii="Palatino Linotype" w:hAnsi="Palatino Linotype" w:cs="Arial"/>
        </w:rPr>
        <w:t>Fica criado o Comitê Gestor de acompanhamento, operacionalização e aplicação dos Recursos repassados pela União por intermédio da Lei 14.017, de 2020 (Lei Aldir Blanc), composta pelos seguintes membros:</w:t>
      </w:r>
    </w:p>
    <w:p w14:paraId="75494BD7" w14:textId="547DF689" w:rsidR="00491B65" w:rsidRDefault="00491B65" w:rsidP="00491B65">
      <w:pPr>
        <w:pStyle w:val="Default"/>
        <w:spacing w:after="120" w:line="312" w:lineRule="auto"/>
        <w:ind w:firstLine="1134"/>
        <w:jc w:val="both"/>
        <w:rPr>
          <w:rFonts w:ascii="Palatino Linotype" w:hAnsi="Palatino Linotype" w:cs="Arial"/>
        </w:rPr>
      </w:pPr>
      <w:r>
        <w:rPr>
          <w:rFonts w:ascii="Palatino Linotype" w:hAnsi="Palatino Linotype" w:cs="Arial"/>
        </w:rPr>
        <w:t xml:space="preserve">I – </w:t>
      </w:r>
      <w:r w:rsidR="00FD2596">
        <w:rPr>
          <w:rFonts w:ascii="Palatino Linotype" w:hAnsi="Palatino Linotype" w:cs="Arial"/>
        </w:rPr>
        <w:t xml:space="preserve">(3) </w:t>
      </w:r>
      <w:r>
        <w:rPr>
          <w:rFonts w:ascii="Palatino Linotype" w:hAnsi="Palatino Linotype" w:cs="Arial"/>
        </w:rPr>
        <w:t>Representante</w:t>
      </w:r>
      <w:r w:rsidR="00FD2596">
        <w:rPr>
          <w:rFonts w:ascii="Palatino Linotype" w:hAnsi="Palatino Linotype" w:cs="Arial"/>
        </w:rPr>
        <w:t>s</w:t>
      </w:r>
      <w:r>
        <w:rPr>
          <w:rFonts w:ascii="Palatino Linotype" w:hAnsi="Palatino Linotype" w:cs="Arial"/>
        </w:rPr>
        <w:t xml:space="preserve"> da Secretaria Muni</w:t>
      </w:r>
      <w:r w:rsidR="00FD2596">
        <w:rPr>
          <w:rFonts w:ascii="Palatino Linotype" w:hAnsi="Palatino Linotype" w:cs="Arial"/>
        </w:rPr>
        <w:t xml:space="preserve">cipal de Educação e </w:t>
      </w:r>
      <w:r>
        <w:rPr>
          <w:rFonts w:ascii="Palatino Linotype" w:hAnsi="Palatino Linotype" w:cs="Arial"/>
        </w:rPr>
        <w:t>Cultura</w:t>
      </w:r>
      <w:r w:rsidR="00FD2596">
        <w:rPr>
          <w:rFonts w:ascii="Palatino Linotype" w:hAnsi="Palatino Linotype" w:cs="Arial"/>
        </w:rPr>
        <w:t>;</w:t>
      </w:r>
    </w:p>
    <w:p w14:paraId="17EF63C1" w14:textId="6EDC48AC" w:rsidR="00491B65" w:rsidRDefault="00491B65" w:rsidP="00491B65">
      <w:pPr>
        <w:pStyle w:val="Default"/>
        <w:spacing w:after="120" w:line="312" w:lineRule="auto"/>
        <w:ind w:firstLine="1134"/>
        <w:jc w:val="both"/>
        <w:rPr>
          <w:rFonts w:ascii="Palatino Linotype" w:hAnsi="Palatino Linotype" w:cs="Arial"/>
        </w:rPr>
      </w:pPr>
      <w:r>
        <w:rPr>
          <w:rFonts w:ascii="Palatino Linotype" w:hAnsi="Palatino Linotype" w:cs="Arial"/>
        </w:rPr>
        <w:t xml:space="preserve">II </w:t>
      </w:r>
      <w:r w:rsidR="005972A1">
        <w:rPr>
          <w:rFonts w:ascii="Palatino Linotype" w:hAnsi="Palatino Linotype" w:cs="Arial"/>
        </w:rPr>
        <w:t>– (3</w:t>
      </w:r>
      <w:r w:rsidR="006141D9">
        <w:rPr>
          <w:rFonts w:ascii="Palatino Linotype" w:hAnsi="Palatino Linotype" w:cs="Arial"/>
        </w:rPr>
        <w:t>)</w:t>
      </w:r>
      <w:r>
        <w:rPr>
          <w:rFonts w:ascii="Palatino Linotype" w:hAnsi="Palatino Linotype" w:cs="Arial"/>
        </w:rPr>
        <w:t xml:space="preserve"> Representante do Gabinete do Prefeito;</w:t>
      </w:r>
    </w:p>
    <w:p w14:paraId="0D1B572F" w14:textId="21C85CC6" w:rsidR="00491B65" w:rsidRDefault="006141D9" w:rsidP="00491B65">
      <w:pPr>
        <w:pStyle w:val="Default"/>
        <w:spacing w:after="120" w:line="312" w:lineRule="auto"/>
        <w:ind w:firstLine="1134"/>
        <w:jc w:val="both"/>
        <w:rPr>
          <w:rFonts w:ascii="Palatino Linotype" w:hAnsi="Palatino Linotype" w:cs="Arial"/>
        </w:rPr>
      </w:pPr>
      <w:r>
        <w:rPr>
          <w:rFonts w:ascii="Palatino Linotype" w:hAnsi="Palatino Linotype" w:cs="Arial"/>
        </w:rPr>
        <w:t>III</w:t>
      </w:r>
      <w:r w:rsidR="00491B65">
        <w:rPr>
          <w:rFonts w:ascii="Palatino Linotype" w:hAnsi="Palatino Linotype" w:cs="Arial"/>
        </w:rPr>
        <w:t xml:space="preserve"> </w:t>
      </w:r>
      <w:r w:rsidR="005972A1">
        <w:rPr>
          <w:rFonts w:ascii="Palatino Linotype" w:hAnsi="Palatino Linotype" w:cs="Arial"/>
        </w:rPr>
        <w:t>– (1</w:t>
      </w:r>
      <w:r>
        <w:rPr>
          <w:rFonts w:ascii="Palatino Linotype" w:hAnsi="Palatino Linotype" w:cs="Arial"/>
        </w:rPr>
        <w:t>)</w:t>
      </w:r>
      <w:r w:rsidR="00491B65">
        <w:rPr>
          <w:rFonts w:ascii="Palatino Linotype" w:hAnsi="Palatino Linotype" w:cs="Arial"/>
        </w:rPr>
        <w:t xml:space="preserve"> Representante da Secretaria Municipal de </w:t>
      </w:r>
      <w:r w:rsidR="00D102EA">
        <w:rPr>
          <w:rFonts w:ascii="Palatino Linotype" w:hAnsi="Palatino Linotype" w:cs="Arial"/>
        </w:rPr>
        <w:t>Esporte, Turismo, Indústria e C</w:t>
      </w:r>
      <w:r w:rsidR="005972A1">
        <w:rPr>
          <w:rFonts w:ascii="Palatino Linotype" w:hAnsi="Palatino Linotype" w:cs="Arial"/>
        </w:rPr>
        <w:t>omércio</w:t>
      </w:r>
      <w:r w:rsidR="00491B65">
        <w:rPr>
          <w:rFonts w:ascii="Palatino Linotype" w:hAnsi="Palatino Linotype" w:cs="Arial"/>
        </w:rPr>
        <w:t>;</w:t>
      </w:r>
    </w:p>
    <w:p w14:paraId="41D28C4B" w14:textId="279C72ED" w:rsidR="00491B65" w:rsidRDefault="006141D9" w:rsidP="00491B65">
      <w:pPr>
        <w:pStyle w:val="Default"/>
        <w:spacing w:after="120" w:line="312" w:lineRule="auto"/>
        <w:ind w:firstLine="1134"/>
        <w:jc w:val="both"/>
        <w:rPr>
          <w:rFonts w:ascii="Palatino Linotype" w:hAnsi="Palatino Linotype" w:cs="Arial"/>
        </w:rPr>
      </w:pPr>
      <w:r>
        <w:rPr>
          <w:rFonts w:ascii="Palatino Linotype" w:hAnsi="Palatino Linotype" w:cs="Arial"/>
        </w:rPr>
        <w:t>IV</w:t>
      </w:r>
      <w:r w:rsidR="00491B65">
        <w:rPr>
          <w:rFonts w:ascii="Palatino Linotype" w:hAnsi="Palatino Linotype" w:cs="Arial"/>
        </w:rPr>
        <w:t xml:space="preserve"> </w:t>
      </w:r>
      <w:r>
        <w:rPr>
          <w:rFonts w:ascii="Palatino Linotype" w:hAnsi="Palatino Linotype" w:cs="Arial"/>
        </w:rPr>
        <w:t>– (</w:t>
      </w:r>
      <w:r w:rsidR="002A65C8">
        <w:rPr>
          <w:rFonts w:ascii="Palatino Linotype" w:hAnsi="Palatino Linotype" w:cs="Arial"/>
        </w:rPr>
        <w:t>3</w:t>
      </w:r>
      <w:r>
        <w:rPr>
          <w:rFonts w:ascii="Palatino Linotype" w:hAnsi="Palatino Linotype" w:cs="Arial"/>
        </w:rPr>
        <w:t>)</w:t>
      </w:r>
      <w:r w:rsidR="00491B65">
        <w:rPr>
          <w:rFonts w:ascii="Palatino Linotype" w:hAnsi="Palatino Linotype" w:cs="Arial"/>
        </w:rPr>
        <w:t xml:space="preserve"> Representante </w:t>
      </w:r>
      <w:r>
        <w:rPr>
          <w:rFonts w:ascii="Palatino Linotype" w:hAnsi="Palatino Linotype" w:cs="Arial"/>
        </w:rPr>
        <w:t>da Sociedade Civil</w:t>
      </w:r>
      <w:r w:rsidR="00491B65">
        <w:rPr>
          <w:rFonts w:ascii="Palatino Linotype" w:hAnsi="Palatino Linotype" w:cs="Arial"/>
        </w:rPr>
        <w:t>;</w:t>
      </w:r>
    </w:p>
    <w:p w14:paraId="2AF61C6C" w14:textId="2A3F91A4" w:rsidR="003D3922" w:rsidRPr="006141D9" w:rsidRDefault="003D3922" w:rsidP="003D3922">
      <w:pPr>
        <w:pStyle w:val="Default"/>
        <w:spacing w:after="120" w:line="312" w:lineRule="auto"/>
        <w:ind w:firstLine="1134"/>
        <w:jc w:val="both"/>
        <w:rPr>
          <w:rFonts w:ascii="Palatino Linotype" w:hAnsi="Palatino Linotype" w:cs="Arial"/>
          <w:color w:val="auto"/>
        </w:rPr>
      </w:pPr>
      <w:r w:rsidRPr="006141D9">
        <w:rPr>
          <w:rFonts w:ascii="Palatino Linotype" w:hAnsi="Palatino Linotype" w:cs="Arial"/>
          <w:bCs/>
          <w:color w:val="auto"/>
        </w:rPr>
        <w:t xml:space="preserve">Parágrafo único. </w:t>
      </w:r>
      <w:r>
        <w:rPr>
          <w:rFonts w:ascii="Palatino Linotype" w:hAnsi="Palatino Linotype" w:cs="Arial"/>
          <w:bCs/>
          <w:color w:val="auto"/>
        </w:rPr>
        <w:t>O Comitê Gestor de Acompanhamento</w:t>
      </w:r>
      <w:r w:rsidRPr="006141D9">
        <w:rPr>
          <w:rFonts w:ascii="Palatino Linotype" w:hAnsi="Palatino Linotype" w:cs="Arial"/>
          <w:color w:val="auto"/>
        </w:rPr>
        <w:t xml:space="preserve"> terá as seguintes atribuições:</w:t>
      </w:r>
    </w:p>
    <w:p w14:paraId="3EAD2EA1" w14:textId="77777777" w:rsidR="003D3922" w:rsidRPr="006141D9" w:rsidRDefault="003D3922" w:rsidP="003D3922">
      <w:pPr>
        <w:pStyle w:val="Default"/>
        <w:spacing w:after="120" w:line="312" w:lineRule="auto"/>
        <w:ind w:firstLine="1134"/>
        <w:jc w:val="both"/>
        <w:rPr>
          <w:rFonts w:ascii="Palatino Linotype" w:hAnsi="Palatino Linotype" w:cs="Arial"/>
          <w:color w:val="auto"/>
        </w:rPr>
      </w:pPr>
      <w:r w:rsidRPr="006141D9">
        <w:rPr>
          <w:rFonts w:ascii="Palatino Linotype" w:hAnsi="Palatino Linotype" w:cs="Arial"/>
          <w:color w:val="auto"/>
        </w:rPr>
        <w:lastRenderedPageBreak/>
        <w:t xml:space="preserve">I - Acompanhar as etapas de transferência direta dos recursos do Governo Federal e/ou Estadual para o Município de </w:t>
      </w:r>
      <w:r>
        <w:rPr>
          <w:rFonts w:ascii="Palatino Linotype" w:hAnsi="Palatino Linotype" w:cs="Arial"/>
          <w:color w:val="auto"/>
        </w:rPr>
        <w:t>Antônio Carlos;</w:t>
      </w:r>
      <w:r w:rsidRPr="006141D9">
        <w:rPr>
          <w:rFonts w:ascii="Palatino Linotype" w:hAnsi="Palatino Linotype" w:cs="Arial"/>
          <w:color w:val="auto"/>
        </w:rPr>
        <w:t xml:space="preserve"> </w:t>
      </w:r>
    </w:p>
    <w:p w14:paraId="14E2B6B3" w14:textId="77777777" w:rsidR="003D3922" w:rsidRPr="006141D9" w:rsidRDefault="003D3922" w:rsidP="003D3922">
      <w:pPr>
        <w:pStyle w:val="Default"/>
        <w:spacing w:after="120" w:line="312" w:lineRule="auto"/>
        <w:ind w:firstLine="1134"/>
        <w:jc w:val="both"/>
        <w:rPr>
          <w:rFonts w:ascii="Palatino Linotype" w:hAnsi="Palatino Linotype" w:cs="Arial"/>
          <w:color w:val="auto"/>
        </w:rPr>
      </w:pPr>
      <w:r w:rsidRPr="006141D9">
        <w:rPr>
          <w:rFonts w:ascii="Palatino Linotype" w:hAnsi="Palatino Linotype" w:cs="Arial"/>
          <w:color w:val="auto"/>
        </w:rPr>
        <w:t xml:space="preserve">II - Fiscalizar a execução dos recursos transferidos, incluindo a publicidade das ações; </w:t>
      </w:r>
    </w:p>
    <w:p w14:paraId="5887AD32" w14:textId="77777777" w:rsidR="003D3922" w:rsidRPr="006141D9" w:rsidRDefault="003D3922" w:rsidP="003D3922">
      <w:pPr>
        <w:pStyle w:val="Default"/>
        <w:spacing w:after="120" w:line="312" w:lineRule="auto"/>
        <w:ind w:firstLine="1134"/>
        <w:jc w:val="both"/>
        <w:rPr>
          <w:rFonts w:ascii="Palatino Linotype" w:hAnsi="Palatino Linotype" w:cs="Arial"/>
          <w:color w:val="auto"/>
        </w:rPr>
      </w:pPr>
      <w:r w:rsidRPr="006141D9">
        <w:rPr>
          <w:rFonts w:ascii="Palatino Linotype" w:hAnsi="Palatino Linotype" w:cs="Arial"/>
          <w:color w:val="auto"/>
        </w:rPr>
        <w:t xml:space="preserve">III - Acompanhar a execução dos recursos no âmbito do Município de </w:t>
      </w:r>
      <w:r>
        <w:rPr>
          <w:rFonts w:ascii="Palatino Linotype" w:hAnsi="Palatino Linotype" w:cs="Arial"/>
          <w:color w:val="auto"/>
        </w:rPr>
        <w:t>Antônio Carlos,</w:t>
      </w:r>
      <w:r w:rsidRPr="006141D9">
        <w:rPr>
          <w:rFonts w:ascii="Palatino Linotype" w:hAnsi="Palatino Linotype" w:cs="Arial"/>
          <w:color w:val="auto"/>
        </w:rPr>
        <w:t xml:space="preserve"> de acordo com as prestações de contas apresentadas pelo Comitê Gestor.</w:t>
      </w:r>
    </w:p>
    <w:p w14:paraId="455CE54C" w14:textId="77777777" w:rsidR="00491B65" w:rsidRDefault="00491B65" w:rsidP="00491B65">
      <w:pPr>
        <w:pStyle w:val="Default"/>
        <w:spacing w:after="120" w:line="312" w:lineRule="auto"/>
        <w:ind w:firstLine="1134"/>
        <w:jc w:val="both"/>
        <w:rPr>
          <w:rFonts w:ascii="Palatino Linotype" w:hAnsi="Palatino Linotype" w:cs="Arial"/>
        </w:rPr>
      </w:pPr>
      <w:r>
        <w:rPr>
          <w:rFonts w:ascii="Palatino Linotype" w:hAnsi="Palatino Linotype" w:cs="Arial"/>
        </w:rPr>
        <w:t>Art. 13. O Comitê Gestor terá as seguintes atribuições:</w:t>
      </w:r>
    </w:p>
    <w:p w14:paraId="17D57C76" w14:textId="77777777" w:rsidR="00491B65" w:rsidRDefault="00491B65" w:rsidP="00491B65">
      <w:pPr>
        <w:pStyle w:val="Default"/>
        <w:spacing w:after="120" w:line="312" w:lineRule="auto"/>
        <w:ind w:firstLine="1134"/>
        <w:jc w:val="both"/>
        <w:rPr>
          <w:rFonts w:ascii="Palatino Linotype" w:hAnsi="Palatino Linotype" w:cs="Arial"/>
        </w:rPr>
      </w:pPr>
      <w:r>
        <w:rPr>
          <w:rFonts w:ascii="Palatino Linotype" w:hAnsi="Palatino Linotype" w:cs="Arial"/>
        </w:rPr>
        <w:t>I – Elaborar e dar publicidade dos instrumentos a que se referem o inciso II do art. 2º do presente Decreto;</w:t>
      </w:r>
    </w:p>
    <w:p w14:paraId="74148B43" w14:textId="77777777" w:rsidR="00491B65" w:rsidRDefault="00491B65" w:rsidP="00491B65">
      <w:pPr>
        <w:pStyle w:val="Default"/>
        <w:spacing w:after="120" w:line="312" w:lineRule="auto"/>
        <w:ind w:firstLine="1134"/>
        <w:jc w:val="both"/>
        <w:rPr>
          <w:rFonts w:ascii="Palatino Linotype" w:hAnsi="Palatino Linotype" w:cs="Arial"/>
        </w:rPr>
      </w:pPr>
      <w:r>
        <w:rPr>
          <w:rFonts w:ascii="Palatino Linotype" w:hAnsi="Palatino Linotype" w:cs="Arial"/>
        </w:rPr>
        <w:t>II – Receber e analisar a documentação apresentada pelos interessados nos repasses mensais dos subsídios referenciados no inciso I do art. 2º do presente Decreto;</w:t>
      </w:r>
    </w:p>
    <w:p w14:paraId="532F85B8" w14:textId="77777777" w:rsidR="00491B65" w:rsidRDefault="00491B65" w:rsidP="00491B65">
      <w:pPr>
        <w:pStyle w:val="Default"/>
        <w:spacing w:after="120" w:line="312" w:lineRule="auto"/>
        <w:ind w:firstLine="1134"/>
        <w:jc w:val="both"/>
        <w:rPr>
          <w:rFonts w:ascii="Palatino Linotype" w:hAnsi="Palatino Linotype" w:cs="Arial"/>
        </w:rPr>
      </w:pPr>
      <w:r>
        <w:rPr>
          <w:rFonts w:ascii="Palatino Linotype" w:hAnsi="Palatino Linotype" w:cs="Arial"/>
        </w:rPr>
        <w:t>III – Manifestar-se sobre a regularidade ou irregularidade da documentação apresentada pelos interessados;</w:t>
      </w:r>
    </w:p>
    <w:p w14:paraId="6129D1C3" w14:textId="77777777" w:rsidR="00491B65" w:rsidRDefault="00491B65" w:rsidP="00491B65">
      <w:pPr>
        <w:pStyle w:val="Default"/>
        <w:spacing w:after="120" w:line="312" w:lineRule="auto"/>
        <w:ind w:firstLine="1134"/>
        <w:jc w:val="both"/>
        <w:rPr>
          <w:rFonts w:ascii="Palatino Linotype" w:hAnsi="Palatino Linotype" w:cs="Arial"/>
        </w:rPr>
      </w:pPr>
      <w:r>
        <w:rPr>
          <w:rFonts w:ascii="Palatino Linotype" w:hAnsi="Palatino Linotype" w:cs="Arial"/>
        </w:rPr>
        <w:t>IV – Encaminhar a documentação, acompanhada de parecer favorável, à Contabilidade para fins de empenhamento e posterior pagamento dos subsídios aos interessados aptos ao recebimento do valor do subsídio;</w:t>
      </w:r>
    </w:p>
    <w:p w14:paraId="1C611197"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V - Acompanhar as etapas de transferência dos recursos do Governo Federal para o Município;</w:t>
      </w:r>
    </w:p>
    <w:p w14:paraId="52EC88F9"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bCs/>
        </w:rPr>
        <w:t>VI – Subsidiar o Gestor Municipal para a tomada de decisão quanto à aplicação dos recursos da Lei Federal 14.017/2020;</w:t>
      </w:r>
    </w:p>
    <w:p w14:paraId="574F9E5C" w14:textId="77777777" w:rsidR="00491B65" w:rsidRDefault="00491B65" w:rsidP="00491B65">
      <w:pPr>
        <w:pStyle w:val="Default"/>
        <w:spacing w:after="120" w:line="312" w:lineRule="auto"/>
        <w:ind w:firstLine="1134"/>
        <w:jc w:val="both"/>
        <w:rPr>
          <w:rFonts w:ascii="Palatino Linotype" w:hAnsi="Palatino Linotype" w:cs="Arial"/>
          <w:bCs/>
        </w:rPr>
      </w:pPr>
      <w:r>
        <w:rPr>
          <w:rFonts w:ascii="Palatino Linotype" w:hAnsi="Palatino Linotype" w:cs="Arial"/>
        </w:rPr>
        <w:t xml:space="preserve">VII - </w:t>
      </w:r>
      <w:r>
        <w:rPr>
          <w:rFonts w:ascii="Palatino Linotype" w:hAnsi="Palatino Linotype" w:cs="Arial"/>
          <w:bCs/>
        </w:rPr>
        <w:t>Elaborar relatórios da prestação de contas relativamente à execução dos recursos no âmbito do Município.</w:t>
      </w:r>
    </w:p>
    <w:p w14:paraId="4F4B374A" w14:textId="259547BB" w:rsidR="00491B65" w:rsidRDefault="003D3922" w:rsidP="00491B65">
      <w:pPr>
        <w:pStyle w:val="Default"/>
        <w:spacing w:after="120" w:line="312" w:lineRule="auto"/>
        <w:ind w:firstLine="1134"/>
        <w:jc w:val="both"/>
        <w:rPr>
          <w:rFonts w:ascii="Palatino Linotype" w:hAnsi="Palatino Linotype" w:cs="Arial"/>
        </w:rPr>
      </w:pPr>
      <w:r>
        <w:rPr>
          <w:rFonts w:ascii="Palatino Linotype" w:hAnsi="Palatino Linotype" w:cs="Arial"/>
        </w:rPr>
        <w:t>Art. 14</w:t>
      </w:r>
      <w:r w:rsidR="00491B65">
        <w:rPr>
          <w:rFonts w:ascii="Palatino Linotype" w:hAnsi="Palatino Linotype" w:cs="Arial"/>
        </w:rPr>
        <w:t>. A transferência do recurso/subsidio ao interessado habilitado será feito mediante depósito em conta bancária de titularidade do proponente.</w:t>
      </w:r>
    </w:p>
    <w:p w14:paraId="1394F7B7" w14:textId="3A19727A" w:rsidR="00491B65" w:rsidRDefault="003D3922" w:rsidP="00491B65">
      <w:pPr>
        <w:pStyle w:val="Default"/>
        <w:spacing w:after="120" w:line="312" w:lineRule="auto"/>
        <w:ind w:firstLine="1134"/>
        <w:jc w:val="both"/>
        <w:rPr>
          <w:rFonts w:ascii="Palatino Linotype" w:hAnsi="Palatino Linotype" w:cs="Arial"/>
        </w:rPr>
      </w:pPr>
      <w:r>
        <w:rPr>
          <w:rFonts w:ascii="Palatino Linotype" w:hAnsi="Palatino Linotype" w:cs="Arial"/>
        </w:rPr>
        <w:t>Art. 15</w:t>
      </w:r>
      <w:r w:rsidR="00491B65">
        <w:rPr>
          <w:rFonts w:ascii="Palatino Linotype" w:hAnsi="Palatino Linotype" w:cs="Arial"/>
        </w:rPr>
        <w:t xml:space="preserve">. Todas as informações de interesse público relativas à aplicação da Lei Federal nº. 14.017, de 2020, em âmbito local, ficarão disponíveis no seguinte </w:t>
      </w:r>
      <w:r w:rsidR="00491B65" w:rsidRPr="00422A14">
        <w:rPr>
          <w:rFonts w:ascii="Palatino Linotype" w:hAnsi="Palatino Linotype" w:cs="Arial"/>
          <w:color w:val="auto"/>
        </w:rPr>
        <w:t xml:space="preserve">endereço eletrônico: </w:t>
      </w:r>
      <w:hyperlink r:id="rId9" w:history="1">
        <w:r w:rsidR="005A7FEC" w:rsidRPr="006D070D">
          <w:rPr>
            <w:rStyle w:val="Hyperlink"/>
            <w:rFonts w:ascii="Palatino Linotype" w:hAnsi="Palatino Linotype" w:cs="Arial"/>
          </w:rPr>
          <w:t>https://www.antoniocarlos.sc.gov.br/</w:t>
        </w:r>
      </w:hyperlink>
      <w:r w:rsidR="00422A14" w:rsidRPr="00422A14">
        <w:rPr>
          <w:rFonts w:ascii="Palatino Linotype" w:hAnsi="Palatino Linotype" w:cs="Arial"/>
          <w:color w:val="auto"/>
        </w:rPr>
        <w:t>.</w:t>
      </w:r>
      <w:r w:rsidR="00491B65" w:rsidRPr="00422A14">
        <w:rPr>
          <w:rFonts w:ascii="Palatino Linotype" w:hAnsi="Palatino Linotype" w:cs="Arial"/>
          <w:color w:val="auto"/>
        </w:rPr>
        <w:t xml:space="preserve"> </w:t>
      </w:r>
    </w:p>
    <w:p w14:paraId="54EFD530" w14:textId="06AD33F0" w:rsidR="00491B65" w:rsidRDefault="003D3922" w:rsidP="00491B65">
      <w:pPr>
        <w:pStyle w:val="Default"/>
        <w:spacing w:after="120" w:line="312" w:lineRule="auto"/>
        <w:ind w:firstLine="1134"/>
        <w:jc w:val="both"/>
        <w:rPr>
          <w:rFonts w:ascii="Palatino Linotype" w:hAnsi="Palatino Linotype" w:cs="Arial"/>
        </w:rPr>
      </w:pPr>
      <w:r>
        <w:rPr>
          <w:rFonts w:ascii="Palatino Linotype" w:hAnsi="Palatino Linotype" w:cs="Arial"/>
          <w:bCs/>
        </w:rPr>
        <w:lastRenderedPageBreak/>
        <w:t>Art. 16</w:t>
      </w:r>
      <w:r w:rsidR="00491B65">
        <w:rPr>
          <w:rFonts w:ascii="Palatino Linotype" w:hAnsi="Palatino Linotype" w:cs="Arial"/>
          <w:bCs/>
        </w:rPr>
        <w:t xml:space="preserve">. </w:t>
      </w:r>
      <w:r w:rsidR="00491B65">
        <w:rPr>
          <w:rFonts w:ascii="Palatino Linotype" w:hAnsi="Palatino Linotype" w:cs="Arial"/>
        </w:rPr>
        <w:t>A Secretária Municipal de Educação</w:t>
      </w:r>
      <w:r w:rsidR="006141D9">
        <w:rPr>
          <w:rFonts w:ascii="Palatino Linotype" w:hAnsi="Palatino Linotype" w:cs="Arial"/>
        </w:rPr>
        <w:t xml:space="preserve"> e</w:t>
      </w:r>
      <w:r w:rsidR="00491B65">
        <w:rPr>
          <w:rFonts w:ascii="Palatino Linotype" w:hAnsi="Palatino Linotype" w:cs="Arial"/>
        </w:rPr>
        <w:t xml:space="preserve"> Cultura poderá expedir normas para complementar, esclarecer e orientar a execução da Lei Federal nº 14.017, de 2020, inclusive no tocante à forma de execução de seu art. 2º. </w:t>
      </w:r>
    </w:p>
    <w:p w14:paraId="0FD264A3" w14:textId="5CFF2C16" w:rsidR="00491B65" w:rsidRDefault="003D3922" w:rsidP="00491B65">
      <w:pPr>
        <w:pStyle w:val="Default"/>
        <w:spacing w:after="120" w:line="312" w:lineRule="auto"/>
        <w:ind w:firstLine="1134"/>
        <w:jc w:val="both"/>
        <w:rPr>
          <w:rFonts w:ascii="Palatino Linotype" w:hAnsi="Palatino Linotype" w:cs="Arial"/>
        </w:rPr>
      </w:pPr>
      <w:r>
        <w:rPr>
          <w:rFonts w:ascii="Palatino Linotype" w:hAnsi="Palatino Linotype" w:cs="Arial"/>
          <w:bCs/>
        </w:rPr>
        <w:t>Art. 17</w:t>
      </w:r>
      <w:r w:rsidR="00491B65">
        <w:rPr>
          <w:rFonts w:ascii="Palatino Linotype" w:hAnsi="Palatino Linotype" w:cs="Arial"/>
          <w:bCs/>
        </w:rPr>
        <w:t>. E</w:t>
      </w:r>
      <w:r w:rsidR="00491B65">
        <w:rPr>
          <w:rFonts w:ascii="Palatino Linotype" w:hAnsi="Palatino Linotype" w:cs="Arial"/>
        </w:rPr>
        <w:t xml:space="preserve">ste Decreto entra em vigor na data de sua publicação. </w:t>
      </w:r>
    </w:p>
    <w:p w14:paraId="156B7EA9" w14:textId="77777777" w:rsidR="00491B65" w:rsidRDefault="00491B65" w:rsidP="00491B65">
      <w:pPr>
        <w:pStyle w:val="Default"/>
        <w:spacing w:line="312" w:lineRule="auto"/>
        <w:rPr>
          <w:rFonts w:ascii="Palatino Linotype" w:hAnsi="Palatino Linotype" w:cs="Arial"/>
        </w:rPr>
      </w:pPr>
    </w:p>
    <w:p w14:paraId="57E6CAC5" w14:textId="56C58276" w:rsidR="00491B65" w:rsidRDefault="006141D9" w:rsidP="00491B65">
      <w:pPr>
        <w:pStyle w:val="Default"/>
        <w:spacing w:line="312" w:lineRule="auto"/>
        <w:jc w:val="center"/>
        <w:rPr>
          <w:rFonts w:ascii="Palatino Linotype" w:hAnsi="Palatino Linotype" w:cs="Arial"/>
        </w:rPr>
      </w:pPr>
      <w:r>
        <w:rPr>
          <w:rFonts w:ascii="Palatino Linotype" w:hAnsi="Palatino Linotype" w:cs="Arial"/>
        </w:rPr>
        <w:t xml:space="preserve">Antônio Carlos, </w:t>
      </w:r>
      <w:r w:rsidR="00EA332D">
        <w:rPr>
          <w:rFonts w:ascii="Palatino Linotype" w:hAnsi="Palatino Linotype" w:cs="Arial"/>
        </w:rPr>
        <w:t>26</w:t>
      </w:r>
      <w:bookmarkStart w:id="0" w:name="_GoBack"/>
      <w:bookmarkEnd w:id="0"/>
      <w:r>
        <w:rPr>
          <w:rFonts w:ascii="Palatino Linotype" w:hAnsi="Palatino Linotype" w:cs="Arial"/>
        </w:rPr>
        <w:t xml:space="preserve"> de </w:t>
      </w:r>
      <w:r w:rsidR="006625BD">
        <w:rPr>
          <w:rFonts w:ascii="Palatino Linotype" w:hAnsi="Palatino Linotype" w:cs="Arial"/>
        </w:rPr>
        <w:t>novembro</w:t>
      </w:r>
      <w:r>
        <w:rPr>
          <w:rFonts w:ascii="Palatino Linotype" w:hAnsi="Palatino Linotype" w:cs="Arial"/>
        </w:rPr>
        <w:t xml:space="preserve"> de 2020.</w:t>
      </w:r>
    </w:p>
    <w:p w14:paraId="4BFDDC4E" w14:textId="77777777" w:rsidR="00491B65" w:rsidRDefault="00491B65" w:rsidP="00491B65">
      <w:pPr>
        <w:pStyle w:val="Default"/>
        <w:spacing w:line="312" w:lineRule="auto"/>
        <w:jc w:val="center"/>
        <w:rPr>
          <w:rFonts w:ascii="Palatino Linotype" w:hAnsi="Palatino Linotype" w:cs="Arial"/>
          <w:bCs/>
        </w:rPr>
      </w:pPr>
    </w:p>
    <w:p w14:paraId="64F97606" w14:textId="77777777" w:rsidR="00491B65" w:rsidRDefault="00491B65" w:rsidP="00491B65">
      <w:pPr>
        <w:pStyle w:val="Default"/>
        <w:spacing w:line="312" w:lineRule="auto"/>
        <w:jc w:val="center"/>
        <w:rPr>
          <w:rFonts w:ascii="Palatino Linotype" w:hAnsi="Palatino Linotype" w:cs="Arial"/>
          <w:bCs/>
        </w:rPr>
      </w:pPr>
    </w:p>
    <w:p w14:paraId="5131AE47" w14:textId="574E3F4F" w:rsidR="00491B65" w:rsidRPr="003A2719" w:rsidRDefault="006141D9" w:rsidP="00491B65">
      <w:pPr>
        <w:pStyle w:val="Default"/>
        <w:spacing w:line="312" w:lineRule="auto"/>
        <w:jc w:val="center"/>
        <w:rPr>
          <w:rFonts w:ascii="Palatino Linotype" w:hAnsi="Palatino Linotype" w:cs="Arial"/>
          <w:b/>
          <w:bCs/>
        </w:rPr>
      </w:pPr>
      <w:r w:rsidRPr="003A2719">
        <w:rPr>
          <w:rFonts w:ascii="Palatino Linotype" w:hAnsi="Palatino Linotype" w:cs="Arial"/>
          <w:b/>
          <w:bCs/>
        </w:rPr>
        <w:t>GERALDO PAULI</w:t>
      </w:r>
    </w:p>
    <w:p w14:paraId="79F7BB6C" w14:textId="77777777" w:rsidR="00491B65" w:rsidRPr="003A2719" w:rsidRDefault="00491B65" w:rsidP="00491B65">
      <w:pPr>
        <w:pStyle w:val="Default"/>
        <w:spacing w:line="312" w:lineRule="auto"/>
        <w:jc w:val="center"/>
        <w:rPr>
          <w:rFonts w:ascii="Palatino Linotype" w:hAnsi="Palatino Linotype" w:cs="Arial"/>
          <w:b/>
        </w:rPr>
      </w:pPr>
      <w:r w:rsidRPr="003A2719">
        <w:rPr>
          <w:rFonts w:ascii="Palatino Linotype" w:hAnsi="Palatino Linotype" w:cs="Arial"/>
          <w:b/>
        </w:rPr>
        <w:t>Prefeito Municipal</w:t>
      </w:r>
    </w:p>
    <w:p w14:paraId="2FDE1213" w14:textId="77777777" w:rsidR="00A35CA6" w:rsidRPr="00491B65" w:rsidRDefault="00A35CA6" w:rsidP="00491B65"/>
    <w:sectPr w:rsidR="00A35CA6" w:rsidRPr="00491B65" w:rsidSect="00DE4A57">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701" w:header="567"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C6C8D" w14:textId="77777777" w:rsidR="00BA17DE" w:rsidRDefault="00BA17DE">
      <w:pPr>
        <w:spacing w:after="0"/>
      </w:pPr>
      <w:r>
        <w:separator/>
      </w:r>
    </w:p>
  </w:endnote>
  <w:endnote w:type="continuationSeparator" w:id="0">
    <w:p w14:paraId="4BC0EADF" w14:textId="77777777" w:rsidR="00BA17DE" w:rsidRDefault="00BA17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534F5" w14:textId="77777777" w:rsidR="008C0A1A" w:rsidRDefault="008C0A1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6B9A4" w14:textId="77777777" w:rsidR="00A16B71" w:rsidRDefault="00A16B71">
    <w:pPr>
      <w:pStyle w:val="Rodap"/>
      <w:jc w:val="center"/>
      <w:rPr>
        <w:lang w:eastAsia="pt-B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E6000" w14:textId="77777777" w:rsidR="008C0A1A" w:rsidRDefault="008C0A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894A3" w14:textId="77777777" w:rsidR="00BA17DE" w:rsidRDefault="00BA17DE">
      <w:pPr>
        <w:spacing w:after="0"/>
      </w:pPr>
      <w:r>
        <w:separator/>
      </w:r>
    </w:p>
  </w:footnote>
  <w:footnote w:type="continuationSeparator" w:id="0">
    <w:p w14:paraId="40A0D310" w14:textId="77777777" w:rsidR="00BA17DE" w:rsidRDefault="00BA17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E32D4" w14:textId="77777777" w:rsidR="008C0A1A" w:rsidRDefault="008C0A1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25DCB" w14:textId="77777777" w:rsidR="00A16B71" w:rsidRDefault="00A16B71">
    <w:pPr>
      <w:pStyle w:val="Cabealho"/>
      <w:rPr>
        <w:lang w:eastAsia="pt-BR"/>
      </w:rPr>
    </w:pPr>
  </w:p>
  <w:p w14:paraId="08753494" w14:textId="77777777" w:rsidR="00A16B71" w:rsidRDefault="00A16B71">
    <w:pPr>
      <w:pStyle w:val="Cabealho"/>
      <w:rPr>
        <w:lang w:eastAsia="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E6918" w14:textId="77777777" w:rsidR="008C0A1A" w:rsidRDefault="008C0A1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82096E"/>
    <w:multiLevelType w:val="hybridMultilevel"/>
    <w:tmpl w:val="C570FDCA"/>
    <w:lvl w:ilvl="0" w:tplc="E924CF38">
      <w:start w:val="2"/>
      <w:numFmt w:val="upperRoman"/>
      <w:lvlText w:val="%1"/>
      <w:lvlJc w:val="left"/>
      <w:pPr>
        <w:ind w:left="1920" w:hanging="226"/>
      </w:pPr>
      <w:rPr>
        <w:rFonts w:ascii="Arial" w:eastAsia="Arial" w:hAnsi="Arial" w:cs="Arial" w:hint="default"/>
        <w:i/>
        <w:w w:val="100"/>
        <w:sz w:val="24"/>
        <w:szCs w:val="24"/>
        <w:lang w:val="pt-PT" w:eastAsia="en-US" w:bidi="ar-SA"/>
      </w:rPr>
    </w:lvl>
    <w:lvl w:ilvl="1" w:tplc="102846EE">
      <w:numFmt w:val="bullet"/>
      <w:lvlText w:val="•"/>
      <w:lvlJc w:val="left"/>
      <w:pPr>
        <w:ind w:left="2670" w:hanging="226"/>
      </w:pPr>
      <w:rPr>
        <w:rFonts w:hint="default"/>
        <w:lang w:val="pt-PT" w:eastAsia="en-US" w:bidi="ar-SA"/>
      </w:rPr>
    </w:lvl>
    <w:lvl w:ilvl="2" w:tplc="6936D9AC">
      <w:numFmt w:val="bullet"/>
      <w:lvlText w:val="•"/>
      <w:lvlJc w:val="left"/>
      <w:pPr>
        <w:ind w:left="3421" w:hanging="226"/>
      </w:pPr>
      <w:rPr>
        <w:rFonts w:hint="default"/>
        <w:lang w:val="pt-PT" w:eastAsia="en-US" w:bidi="ar-SA"/>
      </w:rPr>
    </w:lvl>
    <w:lvl w:ilvl="3" w:tplc="2BDE300C">
      <w:numFmt w:val="bullet"/>
      <w:lvlText w:val="•"/>
      <w:lvlJc w:val="left"/>
      <w:pPr>
        <w:ind w:left="4171" w:hanging="226"/>
      </w:pPr>
      <w:rPr>
        <w:rFonts w:hint="default"/>
        <w:lang w:val="pt-PT" w:eastAsia="en-US" w:bidi="ar-SA"/>
      </w:rPr>
    </w:lvl>
    <w:lvl w:ilvl="4" w:tplc="998E7206">
      <w:numFmt w:val="bullet"/>
      <w:lvlText w:val="•"/>
      <w:lvlJc w:val="left"/>
      <w:pPr>
        <w:ind w:left="4922" w:hanging="226"/>
      </w:pPr>
      <w:rPr>
        <w:rFonts w:hint="default"/>
        <w:lang w:val="pt-PT" w:eastAsia="en-US" w:bidi="ar-SA"/>
      </w:rPr>
    </w:lvl>
    <w:lvl w:ilvl="5" w:tplc="BCF22AB0">
      <w:numFmt w:val="bullet"/>
      <w:lvlText w:val="•"/>
      <w:lvlJc w:val="left"/>
      <w:pPr>
        <w:ind w:left="5673" w:hanging="226"/>
      </w:pPr>
      <w:rPr>
        <w:rFonts w:hint="default"/>
        <w:lang w:val="pt-PT" w:eastAsia="en-US" w:bidi="ar-SA"/>
      </w:rPr>
    </w:lvl>
    <w:lvl w:ilvl="6" w:tplc="F952766C">
      <w:numFmt w:val="bullet"/>
      <w:lvlText w:val="•"/>
      <w:lvlJc w:val="left"/>
      <w:pPr>
        <w:ind w:left="6423" w:hanging="226"/>
      </w:pPr>
      <w:rPr>
        <w:rFonts w:hint="default"/>
        <w:lang w:val="pt-PT" w:eastAsia="en-US" w:bidi="ar-SA"/>
      </w:rPr>
    </w:lvl>
    <w:lvl w:ilvl="7" w:tplc="7020198A">
      <w:numFmt w:val="bullet"/>
      <w:lvlText w:val="•"/>
      <w:lvlJc w:val="left"/>
      <w:pPr>
        <w:ind w:left="7174" w:hanging="226"/>
      </w:pPr>
      <w:rPr>
        <w:rFonts w:hint="default"/>
        <w:lang w:val="pt-PT" w:eastAsia="en-US" w:bidi="ar-SA"/>
      </w:rPr>
    </w:lvl>
    <w:lvl w:ilvl="8" w:tplc="17A4605E">
      <w:numFmt w:val="bullet"/>
      <w:lvlText w:val="•"/>
      <w:lvlJc w:val="left"/>
      <w:pPr>
        <w:ind w:left="7925" w:hanging="226"/>
      </w:pPr>
      <w:rPr>
        <w:rFonts w:hint="default"/>
        <w:lang w:val="pt-PT" w:eastAsia="en-US" w:bidi="ar-SA"/>
      </w:rPr>
    </w:lvl>
  </w:abstractNum>
  <w:abstractNum w:abstractNumId="2" w15:restartNumberingAfterBreak="0">
    <w:nsid w:val="0AA93009"/>
    <w:multiLevelType w:val="hybridMultilevel"/>
    <w:tmpl w:val="EE8864A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0F874A6"/>
    <w:multiLevelType w:val="hybridMultilevel"/>
    <w:tmpl w:val="F19C8C66"/>
    <w:lvl w:ilvl="0" w:tplc="BF8E66A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 w15:restartNumberingAfterBreak="0">
    <w:nsid w:val="2768799A"/>
    <w:multiLevelType w:val="singleLevel"/>
    <w:tmpl w:val="CC44CBD4"/>
    <w:lvl w:ilvl="0">
      <w:start w:val="1"/>
      <w:numFmt w:val="lowerLetter"/>
      <w:lvlText w:val="%1)"/>
      <w:lvlJc w:val="left"/>
      <w:pPr>
        <w:tabs>
          <w:tab w:val="num" w:pos="780"/>
        </w:tabs>
        <w:ind w:left="780" w:hanging="360"/>
      </w:pPr>
      <w:rPr>
        <w:rFonts w:hint="default"/>
      </w:rPr>
    </w:lvl>
  </w:abstractNum>
  <w:abstractNum w:abstractNumId="5" w15:restartNumberingAfterBreak="0">
    <w:nsid w:val="30D62D5B"/>
    <w:multiLevelType w:val="hybridMultilevel"/>
    <w:tmpl w:val="8F02A31E"/>
    <w:lvl w:ilvl="0" w:tplc="249E3A30">
      <w:start w:val="1"/>
      <w:numFmt w:val="upperRoman"/>
      <w:lvlText w:val="%1"/>
      <w:lvlJc w:val="left"/>
      <w:pPr>
        <w:ind w:left="1920" w:hanging="202"/>
      </w:pPr>
      <w:rPr>
        <w:rFonts w:ascii="Arial" w:eastAsia="Arial" w:hAnsi="Arial" w:cs="Arial" w:hint="default"/>
        <w:i/>
        <w:spacing w:val="-21"/>
        <w:w w:val="99"/>
        <w:sz w:val="24"/>
        <w:szCs w:val="24"/>
        <w:lang w:val="pt-PT" w:eastAsia="en-US" w:bidi="ar-SA"/>
      </w:rPr>
    </w:lvl>
    <w:lvl w:ilvl="1" w:tplc="CBF89524">
      <w:numFmt w:val="bullet"/>
      <w:lvlText w:val="•"/>
      <w:lvlJc w:val="left"/>
      <w:pPr>
        <w:ind w:left="2670" w:hanging="202"/>
      </w:pPr>
      <w:rPr>
        <w:rFonts w:hint="default"/>
        <w:lang w:val="pt-PT" w:eastAsia="en-US" w:bidi="ar-SA"/>
      </w:rPr>
    </w:lvl>
    <w:lvl w:ilvl="2" w:tplc="079896E6">
      <w:numFmt w:val="bullet"/>
      <w:lvlText w:val="•"/>
      <w:lvlJc w:val="left"/>
      <w:pPr>
        <w:ind w:left="3421" w:hanging="202"/>
      </w:pPr>
      <w:rPr>
        <w:rFonts w:hint="default"/>
        <w:lang w:val="pt-PT" w:eastAsia="en-US" w:bidi="ar-SA"/>
      </w:rPr>
    </w:lvl>
    <w:lvl w:ilvl="3" w:tplc="788859CC">
      <w:numFmt w:val="bullet"/>
      <w:lvlText w:val="•"/>
      <w:lvlJc w:val="left"/>
      <w:pPr>
        <w:ind w:left="4171" w:hanging="202"/>
      </w:pPr>
      <w:rPr>
        <w:rFonts w:hint="default"/>
        <w:lang w:val="pt-PT" w:eastAsia="en-US" w:bidi="ar-SA"/>
      </w:rPr>
    </w:lvl>
    <w:lvl w:ilvl="4" w:tplc="396AE3E8">
      <w:numFmt w:val="bullet"/>
      <w:lvlText w:val="•"/>
      <w:lvlJc w:val="left"/>
      <w:pPr>
        <w:ind w:left="4922" w:hanging="202"/>
      </w:pPr>
      <w:rPr>
        <w:rFonts w:hint="default"/>
        <w:lang w:val="pt-PT" w:eastAsia="en-US" w:bidi="ar-SA"/>
      </w:rPr>
    </w:lvl>
    <w:lvl w:ilvl="5" w:tplc="E5D608E0">
      <w:numFmt w:val="bullet"/>
      <w:lvlText w:val="•"/>
      <w:lvlJc w:val="left"/>
      <w:pPr>
        <w:ind w:left="5673" w:hanging="202"/>
      </w:pPr>
      <w:rPr>
        <w:rFonts w:hint="default"/>
        <w:lang w:val="pt-PT" w:eastAsia="en-US" w:bidi="ar-SA"/>
      </w:rPr>
    </w:lvl>
    <w:lvl w:ilvl="6" w:tplc="E42AC6C2">
      <w:numFmt w:val="bullet"/>
      <w:lvlText w:val="•"/>
      <w:lvlJc w:val="left"/>
      <w:pPr>
        <w:ind w:left="6423" w:hanging="202"/>
      </w:pPr>
      <w:rPr>
        <w:rFonts w:hint="default"/>
        <w:lang w:val="pt-PT" w:eastAsia="en-US" w:bidi="ar-SA"/>
      </w:rPr>
    </w:lvl>
    <w:lvl w:ilvl="7" w:tplc="7F6A7748">
      <w:numFmt w:val="bullet"/>
      <w:lvlText w:val="•"/>
      <w:lvlJc w:val="left"/>
      <w:pPr>
        <w:ind w:left="7174" w:hanging="202"/>
      </w:pPr>
      <w:rPr>
        <w:rFonts w:hint="default"/>
        <w:lang w:val="pt-PT" w:eastAsia="en-US" w:bidi="ar-SA"/>
      </w:rPr>
    </w:lvl>
    <w:lvl w:ilvl="8" w:tplc="A0381F48">
      <w:numFmt w:val="bullet"/>
      <w:lvlText w:val="•"/>
      <w:lvlJc w:val="left"/>
      <w:pPr>
        <w:ind w:left="7925" w:hanging="202"/>
      </w:pPr>
      <w:rPr>
        <w:rFonts w:hint="default"/>
        <w:lang w:val="pt-PT" w:eastAsia="en-US" w:bidi="ar-SA"/>
      </w:rPr>
    </w:lvl>
  </w:abstractNum>
  <w:abstractNum w:abstractNumId="6" w15:restartNumberingAfterBreak="0">
    <w:nsid w:val="36FE73B6"/>
    <w:multiLevelType w:val="hybridMultilevel"/>
    <w:tmpl w:val="AF4212E8"/>
    <w:lvl w:ilvl="0" w:tplc="95FA0EAE">
      <w:start w:val="1"/>
      <w:numFmt w:val="upperRoman"/>
      <w:lvlText w:val="%1"/>
      <w:lvlJc w:val="left"/>
      <w:pPr>
        <w:ind w:left="1920" w:hanging="147"/>
      </w:pPr>
      <w:rPr>
        <w:rFonts w:ascii="Arial" w:eastAsia="Arial" w:hAnsi="Arial" w:cs="Arial" w:hint="default"/>
        <w:i/>
        <w:w w:val="100"/>
        <w:sz w:val="24"/>
        <w:szCs w:val="24"/>
        <w:lang w:val="pt-PT" w:eastAsia="en-US" w:bidi="ar-SA"/>
      </w:rPr>
    </w:lvl>
    <w:lvl w:ilvl="1" w:tplc="6630A9EE">
      <w:numFmt w:val="bullet"/>
      <w:lvlText w:val="•"/>
      <w:lvlJc w:val="left"/>
      <w:pPr>
        <w:ind w:left="2670" w:hanging="147"/>
      </w:pPr>
      <w:rPr>
        <w:rFonts w:hint="default"/>
        <w:lang w:val="pt-PT" w:eastAsia="en-US" w:bidi="ar-SA"/>
      </w:rPr>
    </w:lvl>
    <w:lvl w:ilvl="2" w:tplc="A058C322">
      <w:numFmt w:val="bullet"/>
      <w:lvlText w:val="•"/>
      <w:lvlJc w:val="left"/>
      <w:pPr>
        <w:ind w:left="3421" w:hanging="147"/>
      </w:pPr>
      <w:rPr>
        <w:rFonts w:hint="default"/>
        <w:lang w:val="pt-PT" w:eastAsia="en-US" w:bidi="ar-SA"/>
      </w:rPr>
    </w:lvl>
    <w:lvl w:ilvl="3" w:tplc="9C40CABE">
      <w:numFmt w:val="bullet"/>
      <w:lvlText w:val="•"/>
      <w:lvlJc w:val="left"/>
      <w:pPr>
        <w:ind w:left="4171" w:hanging="147"/>
      </w:pPr>
      <w:rPr>
        <w:rFonts w:hint="default"/>
        <w:lang w:val="pt-PT" w:eastAsia="en-US" w:bidi="ar-SA"/>
      </w:rPr>
    </w:lvl>
    <w:lvl w:ilvl="4" w:tplc="7E38AC5A">
      <w:numFmt w:val="bullet"/>
      <w:lvlText w:val="•"/>
      <w:lvlJc w:val="left"/>
      <w:pPr>
        <w:ind w:left="4922" w:hanging="147"/>
      </w:pPr>
      <w:rPr>
        <w:rFonts w:hint="default"/>
        <w:lang w:val="pt-PT" w:eastAsia="en-US" w:bidi="ar-SA"/>
      </w:rPr>
    </w:lvl>
    <w:lvl w:ilvl="5" w:tplc="7A1AC5A2">
      <w:numFmt w:val="bullet"/>
      <w:lvlText w:val="•"/>
      <w:lvlJc w:val="left"/>
      <w:pPr>
        <w:ind w:left="5673" w:hanging="147"/>
      </w:pPr>
      <w:rPr>
        <w:rFonts w:hint="default"/>
        <w:lang w:val="pt-PT" w:eastAsia="en-US" w:bidi="ar-SA"/>
      </w:rPr>
    </w:lvl>
    <w:lvl w:ilvl="6" w:tplc="7862E6E8">
      <w:numFmt w:val="bullet"/>
      <w:lvlText w:val="•"/>
      <w:lvlJc w:val="left"/>
      <w:pPr>
        <w:ind w:left="6423" w:hanging="147"/>
      </w:pPr>
      <w:rPr>
        <w:rFonts w:hint="default"/>
        <w:lang w:val="pt-PT" w:eastAsia="en-US" w:bidi="ar-SA"/>
      </w:rPr>
    </w:lvl>
    <w:lvl w:ilvl="7" w:tplc="F2C88940">
      <w:numFmt w:val="bullet"/>
      <w:lvlText w:val="•"/>
      <w:lvlJc w:val="left"/>
      <w:pPr>
        <w:ind w:left="7174" w:hanging="147"/>
      </w:pPr>
      <w:rPr>
        <w:rFonts w:hint="default"/>
        <w:lang w:val="pt-PT" w:eastAsia="en-US" w:bidi="ar-SA"/>
      </w:rPr>
    </w:lvl>
    <w:lvl w:ilvl="8" w:tplc="D5ACD00C">
      <w:numFmt w:val="bullet"/>
      <w:lvlText w:val="•"/>
      <w:lvlJc w:val="left"/>
      <w:pPr>
        <w:ind w:left="7925" w:hanging="147"/>
      </w:pPr>
      <w:rPr>
        <w:rFonts w:hint="default"/>
        <w:lang w:val="pt-PT" w:eastAsia="en-US" w:bidi="ar-SA"/>
      </w:rPr>
    </w:lvl>
  </w:abstractNum>
  <w:abstractNum w:abstractNumId="7" w15:restartNumberingAfterBreak="0">
    <w:nsid w:val="3C6B2600"/>
    <w:multiLevelType w:val="hybridMultilevel"/>
    <w:tmpl w:val="2CFE603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72382DEE"/>
    <w:multiLevelType w:val="multilevel"/>
    <w:tmpl w:val="93F2173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76E91884"/>
    <w:multiLevelType w:val="multilevel"/>
    <w:tmpl w:val="D8863804"/>
    <w:lvl w:ilvl="0">
      <w:start w:val="9"/>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4"/>
  </w:num>
  <w:num w:numId="12">
    <w:abstractNumId w:val="0"/>
  </w:num>
  <w:num w:numId="13">
    <w:abstractNumId w:val="1"/>
  </w:num>
  <w:num w:numId="14">
    <w:abstractNumId w:val="5"/>
  </w:num>
  <w:num w:numId="15">
    <w:abstractNumId w:val="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83E"/>
    <w:rsid w:val="00002861"/>
    <w:rsid w:val="00005A2B"/>
    <w:rsid w:val="0001165F"/>
    <w:rsid w:val="00015FAA"/>
    <w:rsid w:val="0002405C"/>
    <w:rsid w:val="00040157"/>
    <w:rsid w:val="0004290F"/>
    <w:rsid w:val="00046742"/>
    <w:rsid w:val="00057B43"/>
    <w:rsid w:val="00060D64"/>
    <w:rsid w:val="00061749"/>
    <w:rsid w:val="00061CA6"/>
    <w:rsid w:val="0006536F"/>
    <w:rsid w:val="00066579"/>
    <w:rsid w:val="00073265"/>
    <w:rsid w:val="00074A63"/>
    <w:rsid w:val="00083A6C"/>
    <w:rsid w:val="00097148"/>
    <w:rsid w:val="000B0B89"/>
    <w:rsid w:val="000B0DC1"/>
    <w:rsid w:val="000B1867"/>
    <w:rsid w:val="000B26F4"/>
    <w:rsid w:val="000C76D3"/>
    <w:rsid w:val="000D1A38"/>
    <w:rsid w:val="000D20CD"/>
    <w:rsid w:val="000E0072"/>
    <w:rsid w:val="000F05B9"/>
    <w:rsid w:val="00102000"/>
    <w:rsid w:val="00104149"/>
    <w:rsid w:val="00115B3F"/>
    <w:rsid w:val="0012692A"/>
    <w:rsid w:val="00130006"/>
    <w:rsid w:val="00130D28"/>
    <w:rsid w:val="001435BF"/>
    <w:rsid w:val="00145931"/>
    <w:rsid w:val="00162FB3"/>
    <w:rsid w:val="00170DB3"/>
    <w:rsid w:val="00180EFE"/>
    <w:rsid w:val="0019162F"/>
    <w:rsid w:val="0019172D"/>
    <w:rsid w:val="0019606F"/>
    <w:rsid w:val="001C1D09"/>
    <w:rsid w:val="001E35C7"/>
    <w:rsid w:val="001E62FE"/>
    <w:rsid w:val="001F6418"/>
    <w:rsid w:val="002019BA"/>
    <w:rsid w:val="00203B32"/>
    <w:rsid w:val="00211F43"/>
    <w:rsid w:val="002132E2"/>
    <w:rsid w:val="002134BF"/>
    <w:rsid w:val="002136FD"/>
    <w:rsid w:val="00223085"/>
    <w:rsid w:val="002254A1"/>
    <w:rsid w:val="002309CE"/>
    <w:rsid w:val="002408A0"/>
    <w:rsid w:val="0024203F"/>
    <w:rsid w:val="00246953"/>
    <w:rsid w:val="002572A9"/>
    <w:rsid w:val="0026106E"/>
    <w:rsid w:val="00263ACC"/>
    <w:rsid w:val="002669CC"/>
    <w:rsid w:val="002677BE"/>
    <w:rsid w:val="00276A45"/>
    <w:rsid w:val="00282B0F"/>
    <w:rsid w:val="002848B6"/>
    <w:rsid w:val="00290D06"/>
    <w:rsid w:val="002925E4"/>
    <w:rsid w:val="002952C5"/>
    <w:rsid w:val="002A65C8"/>
    <w:rsid w:val="002A6BE7"/>
    <w:rsid w:val="002B0D8B"/>
    <w:rsid w:val="002B2E9C"/>
    <w:rsid w:val="002C0BB5"/>
    <w:rsid w:val="002C3AE4"/>
    <w:rsid w:val="002C4620"/>
    <w:rsid w:val="002D1700"/>
    <w:rsid w:val="002E27F5"/>
    <w:rsid w:val="002E2CBC"/>
    <w:rsid w:val="002E4159"/>
    <w:rsid w:val="002E66E3"/>
    <w:rsid w:val="002F11E9"/>
    <w:rsid w:val="002F3BA9"/>
    <w:rsid w:val="002F48FA"/>
    <w:rsid w:val="002F5CBA"/>
    <w:rsid w:val="00301978"/>
    <w:rsid w:val="00304855"/>
    <w:rsid w:val="00310F37"/>
    <w:rsid w:val="00312BF8"/>
    <w:rsid w:val="00326676"/>
    <w:rsid w:val="00326777"/>
    <w:rsid w:val="003322CF"/>
    <w:rsid w:val="003327AD"/>
    <w:rsid w:val="003442D6"/>
    <w:rsid w:val="00347904"/>
    <w:rsid w:val="00351D40"/>
    <w:rsid w:val="00354BD3"/>
    <w:rsid w:val="00367D4B"/>
    <w:rsid w:val="00392C64"/>
    <w:rsid w:val="00396405"/>
    <w:rsid w:val="003A0D5E"/>
    <w:rsid w:val="003A2719"/>
    <w:rsid w:val="003A4370"/>
    <w:rsid w:val="003A60C9"/>
    <w:rsid w:val="003A7329"/>
    <w:rsid w:val="003B68C8"/>
    <w:rsid w:val="003B7192"/>
    <w:rsid w:val="003B7705"/>
    <w:rsid w:val="003C7282"/>
    <w:rsid w:val="003D3922"/>
    <w:rsid w:val="003E02E3"/>
    <w:rsid w:val="003E0D32"/>
    <w:rsid w:val="003E3D22"/>
    <w:rsid w:val="003E4DF1"/>
    <w:rsid w:val="003E72E5"/>
    <w:rsid w:val="003F11E5"/>
    <w:rsid w:val="003F5CF8"/>
    <w:rsid w:val="003F7D7B"/>
    <w:rsid w:val="00402458"/>
    <w:rsid w:val="00404386"/>
    <w:rsid w:val="00405363"/>
    <w:rsid w:val="00416B68"/>
    <w:rsid w:val="00417BC9"/>
    <w:rsid w:val="00422A14"/>
    <w:rsid w:val="00422E2D"/>
    <w:rsid w:val="00432B14"/>
    <w:rsid w:val="00441D5A"/>
    <w:rsid w:val="004447A9"/>
    <w:rsid w:val="00446729"/>
    <w:rsid w:val="0045301F"/>
    <w:rsid w:val="004564D9"/>
    <w:rsid w:val="00456B29"/>
    <w:rsid w:val="00460B88"/>
    <w:rsid w:val="00466AEC"/>
    <w:rsid w:val="00467C51"/>
    <w:rsid w:val="00470754"/>
    <w:rsid w:val="00472B65"/>
    <w:rsid w:val="0047329B"/>
    <w:rsid w:val="004807B2"/>
    <w:rsid w:val="0048174D"/>
    <w:rsid w:val="00491B65"/>
    <w:rsid w:val="00495D89"/>
    <w:rsid w:val="0049761E"/>
    <w:rsid w:val="004A28CF"/>
    <w:rsid w:val="004A32D1"/>
    <w:rsid w:val="004B2C9C"/>
    <w:rsid w:val="004B459D"/>
    <w:rsid w:val="004C4341"/>
    <w:rsid w:val="004C4D85"/>
    <w:rsid w:val="004D2068"/>
    <w:rsid w:val="004D76AD"/>
    <w:rsid w:val="004E4A1F"/>
    <w:rsid w:val="004E4E44"/>
    <w:rsid w:val="004F6165"/>
    <w:rsid w:val="0050549D"/>
    <w:rsid w:val="005123D5"/>
    <w:rsid w:val="00514088"/>
    <w:rsid w:val="005205A4"/>
    <w:rsid w:val="00523611"/>
    <w:rsid w:val="00531315"/>
    <w:rsid w:val="00540628"/>
    <w:rsid w:val="005416EA"/>
    <w:rsid w:val="00541C3B"/>
    <w:rsid w:val="005424B8"/>
    <w:rsid w:val="00555328"/>
    <w:rsid w:val="005622D1"/>
    <w:rsid w:val="00566664"/>
    <w:rsid w:val="005677B6"/>
    <w:rsid w:val="00567C9B"/>
    <w:rsid w:val="00571A53"/>
    <w:rsid w:val="00571B4A"/>
    <w:rsid w:val="00583A2C"/>
    <w:rsid w:val="00584586"/>
    <w:rsid w:val="005855BC"/>
    <w:rsid w:val="005879FA"/>
    <w:rsid w:val="005972A1"/>
    <w:rsid w:val="005A1ABF"/>
    <w:rsid w:val="005A7FEC"/>
    <w:rsid w:val="005B0E18"/>
    <w:rsid w:val="005B57B7"/>
    <w:rsid w:val="005B7C3D"/>
    <w:rsid w:val="005C00CC"/>
    <w:rsid w:val="005C40DB"/>
    <w:rsid w:val="005C4CC7"/>
    <w:rsid w:val="005D0E28"/>
    <w:rsid w:val="005D17C8"/>
    <w:rsid w:val="005D5262"/>
    <w:rsid w:val="005D53F0"/>
    <w:rsid w:val="005D5A79"/>
    <w:rsid w:val="005D7DF6"/>
    <w:rsid w:val="005E0BFE"/>
    <w:rsid w:val="005E1543"/>
    <w:rsid w:val="005F555D"/>
    <w:rsid w:val="00604C3D"/>
    <w:rsid w:val="00606099"/>
    <w:rsid w:val="00606A79"/>
    <w:rsid w:val="00611C67"/>
    <w:rsid w:val="006141D9"/>
    <w:rsid w:val="00614954"/>
    <w:rsid w:val="006210A7"/>
    <w:rsid w:val="006236D6"/>
    <w:rsid w:val="00631308"/>
    <w:rsid w:val="00636FC8"/>
    <w:rsid w:val="006454D9"/>
    <w:rsid w:val="00646462"/>
    <w:rsid w:val="00647D21"/>
    <w:rsid w:val="00655258"/>
    <w:rsid w:val="006567D6"/>
    <w:rsid w:val="006625BD"/>
    <w:rsid w:val="00680517"/>
    <w:rsid w:val="006829F2"/>
    <w:rsid w:val="00684447"/>
    <w:rsid w:val="006847C4"/>
    <w:rsid w:val="00690242"/>
    <w:rsid w:val="006902C7"/>
    <w:rsid w:val="006950D5"/>
    <w:rsid w:val="00697915"/>
    <w:rsid w:val="006A3A2F"/>
    <w:rsid w:val="006A616D"/>
    <w:rsid w:val="006A62EE"/>
    <w:rsid w:val="006D20C1"/>
    <w:rsid w:val="006D6B10"/>
    <w:rsid w:val="006E0E00"/>
    <w:rsid w:val="006E56B0"/>
    <w:rsid w:val="006F2372"/>
    <w:rsid w:val="006F4602"/>
    <w:rsid w:val="006F490F"/>
    <w:rsid w:val="00701D6E"/>
    <w:rsid w:val="00701F0C"/>
    <w:rsid w:val="0071406D"/>
    <w:rsid w:val="00715C38"/>
    <w:rsid w:val="007213EC"/>
    <w:rsid w:val="007253E5"/>
    <w:rsid w:val="00733E35"/>
    <w:rsid w:val="007347DE"/>
    <w:rsid w:val="00741756"/>
    <w:rsid w:val="007424FE"/>
    <w:rsid w:val="00745971"/>
    <w:rsid w:val="00745BF3"/>
    <w:rsid w:val="00750F34"/>
    <w:rsid w:val="007640FF"/>
    <w:rsid w:val="00785E1D"/>
    <w:rsid w:val="007A0438"/>
    <w:rsid w:val="007B52FD"/>
    <w:rsid w:val="007B53B1"/>
    <w:rsid w:val="007B70BE"/>
    <w:rsid w:val="007C4AC9"/>
    <w:rsid w:val="007C70ED"/>
    <w:rsid w:val="007D575C"/>
    <w:rsid w:val="007D754C"/>
    <w:rsid w:val="007E088D"/>
    <w:rsid w:val="007E454C"/>
    <w:rsid w:val="007F23D4"/>
    <w:rsid w:val="007F3A1E"/>
    <w:rsid w:val="007F45C6"/>
    <w:rsid w:val="007F4C46"/>
    <w:rsid w:val="0080026B"/>
    <w:rsid w:val="008003A3"/>
    <w:rsid w:val="00800B53"/>
    <w:rsid w:val="00804B13"/>
    <w:rsid w:val="0081198A"/>
    <w:rsid w:val="00816B49"/>
    <w:rsid w:val="0081760B"/>
    <w:rsid w:val="00824FA0"/>
    <w:rsid w:val="00827CD2"/>
    <w:rsid w:val="0083375A"/>
    <w:rsid w:val="00833DEC"/>
    <w:rsid w:val="00842008"/>
    <w:rsid w:val="00844BF1"/>
    <w:rsid w:val="008544FC"/>
    <w:rsid w:val="00861FE1"/>
    <w:rsid w:val="00882522"/>
    <w:rsid w:val="008900F5"/>
    <w:rsid w:val="00893352"/>
    <w:rsid w:val="00896747"/>
    <w:rsid w:val="00896FA6"/>
    <w:rsid w:val="008970F9"/>
    <w:rsid w:val="008A5100"/>
    <w:rsid w:val="008A5D93"/>
    <w:rsid w:val="008B04A9"/>
    <w:rsid w:val="008B417D"/>
    <w:rsid w:val="008B4E29"/>
    <w:rsid w:val="008C0A1A"/>
    <w:rsid w:val="008D754E"/>
    <w:rsid w:val="008E4682"/>
    <w:rsid w:val="008F23F3"/>
    <w:rsid w:val="008F2C32"/>
    <w:rsid w:val="00900182"/>
    <w:rsid w:val="009034B4"/>
    <w:rsid w:val="0091535F"/>
    <w:rsid w:val="00924139"/>
    <w:rsid w:val="0093317C"/>
    <w:rsid w:val="00947ABA"/>
    <w:rsid w:val="00947D9B"/>
    <w:rsid w:val="0095072A"/>
    <w:rsid w:val="00962515"/>
    <w:rsid w:val="00962EAA"/>
    <w:rsid w:val="00965294"/>
    <w:rsid w:val="00984275"/>
    <w:rsid w:val="00991F3F"/>
    <w:rsid w:val="00992F31"/>
    <w:rsid w:val="00994426"/>
    <w:rsid w:val="009976D3"/>
    <w:rsid w:val="009A05B1"/>
    <w:rsid w:val="009A6399"/>
    <w:rsid w:val="009B3C23"/>
    <w:rsid w:val="009C2D53"/>
    <w:rsid w:val="009C58B5"/>
    <w:rsid w:val="009D25F7"/>
    <w:rsid w:val="009D297D"/>
    <w:rsid w:val="009F2EE7"/>
    <w:rsid w:val="009F3D54"/>
    <w:rsid w:val="00A01066"/>
    <w:rsid w:val="00A16B71"/>
    <w:rsid w:val="00A27881"/>
    <w:rsid w:val="00A309F4"/>
    <w:rsid w:val="00A3335E"/>
    <w:rsid w:val="00A35CA6"/>
    <w:rsid w:val="00A35F31"/>
    <w:rsid w:val="00A42624"/>
    <w:rsid w:val="00A513CD"/>
    <w:rsid w:val="00A51877"/>
    <w:rsid w:val="00A60D2E"/>
    <w:rsid w:val="00A62387"/>
    <w:rsid w:val="00A638F4"/>
    <w:rsid w:val="00A834C8"/>
    <w:rsid w:val="00A84155"/>
    <w:rsid w:val="00A942D9"/>
    <w:rsid w:val="00AA5AAC"/>
    <w:rsid w:val="00AB73EE"/>
    <w:rsid w:val="00AC69B8"/>
    <w:rsid w:val="00AD0540"/>
    <w:rsid w:val="00AD63A8"/>
    <w:rsid w:val="00AE3D6E"/>
    <w:rsid w:val="00AE61C5"/>
    <w:rsid w:val="00AF34F9"/>
    <w:rsid w:val="00AF6D45"/>
    <w:rsid w:val="00B032B0"/>
    <w:rsid w:val="00B120B0"/>
    <w:rsid w:val="00B14A17"/>
    <w:rsid w:val="00B15DDD"/>
    <w:rsid w:val="00B20D3B"/>
    <w:rsid w:val="00B21EE0"/>
    <w:rsid w:val="00B23781"/>
    <w:rsid w:val="00B2751C"/>
    <w:rsid w:val="00B3111D"/>
    <w:rsid w:val="00B332A5"/>
    <w:rsid w:val="00B40C6B"/>
    <w:rsid w:val="00B6289E"/>
    <w:rsid w:val="00B661D8"/>
    <w:rsid w:val="00B741A4"/>
    <w:rsid w:val="00B75D7E"/>
    <w:rsid w:val="00B800D5"/>
    <w:rsid w:val="00B90EC6"/>
    <w:rsid w:val="00B956EF"/>
    <w:rsid w:val="00BA116D"/>
    <w:rsid w:val="00BA17DE"/>
    <w:rsid w:val="00BB2CE5"/>
    <w:rsid w:val="00BB4191"/>
    <w:rsid w:val="00BB6BDF"/>
    <w:rsid w:val="00BC2B9C"/>
    <w:rsid w:val="00BC337C"/>
    <w:rsid w:val="00BD06EA"/>
    <w:rsid w:val="00BD0C1C"/>
    <w:rsid w:val="00BE0298"/>
    <w:rsid w:val="00BE1EAA"/>
    <w:rsid w:val="00BE24F2"/>
    <w:rsid w:val="00BE73D4"/>
    <w:rsid w:val="00BF5643"/>
    <w:rsid w:val="00BF6779"/>
    <w:rsid w:val="00C01EC9"/>
    <w:rsid w:val="00C035F0"/>
    <w:rsid w:val="00C10717"/>
    <w:rsid w:val="00C11E03"/>
    <w:rsid w:val="00C12CCC"/>
    <w:rsid w:val="00C27FFC"/>
    <w:rsid w:val="00C3027C"/>
    <w:rsid w:val="00C351D0"/>
    <w:rsid w:val="00C41134"/>
    <w:rsid w:val="00C42286"/>
    <w:rsid w:val="00C43805"/>
    <w:rsid w:val="00C43D9E"/>
    <w:rsid w:val="00C463AA"/>
    <w:rsid w:val="00C56279"/>
    <w:rsid w:val="00C702AB"/>
    <w:rsid w:val="00C71938"/>
    <w:rsid w:val="00C72F69"/>
    <w:rsid w:val="00C90C34"/>
    <w:rsid w:val="00C96AFB"/>
    <w:rsid w:val="00CB3109"/>
    <w:rsid w:val="00CD3117"/>
    <w:rsid w:val="00CD63A7"/>
    <w:rsid w:val="00CD7443"/>
    <w:rsid w:val="00D02624"/>
    <w:rsid w:val="00D102EA"/>
    <w:rsid w:val="00D10D36"/>
    <w:rsid w:val="00D16FD5"/>
    <w:rsid w:val="00D17CC3"/>
    <w:rsid w:val="00D20861"/>
    <w:rsid w:val="00D310B8"/>
    <w:rsid w:val="00D47397"/>
    <w:rsid w:val="00D64772"/>
    <w:rsid w:val="00D655C1"/>
    <w:rsid w:val="00D65DEB"/>
    <w:rsid w:val="00D712B4"/>
    <w:rsid w:val="00D72B95"/>
    <w:rsid w:val="00D848A6"/>
    <w:rsid w:val="00D86F9A"/>
    <w:rsid w:val="00D8719D"/>
    <w:rsid w:val="00D930BD"/>
    <w:rsid w:val="00D93C44"/>
    <w:rsid w:val="00D9483E"/>
    <w:rsid w:val="00D949AA"/>
    <w:rsid w:val="00DB13FA"/>
    <w:rsid w:val="00DC32E8"/>
    <w:rsid w:val="00DC63FC"/>
    <w:rsid w:val="00DC645E"/>
    <w:rsid w:val="00DE115F"/>
    <w:rsid w:val="00DE4A57"/>
    <w:rsid w:val="00DE54EB"/>
    <w:rsid w:val="00DF34C1"/>
    <w:rsid w:val="00DF38F5"/>
    <w:rsid w:val="00DF66F0"/>
    <w:rsid w:val="00DF7D30"/>
    <w:rsid w:val="00E00E0C"/>
    <w:rsid w:val="00E059A9"/>
    <w:rsid w:val="00E16D84"/>
    <w:rsid w:val="00E20C81"/>
    <w:rsid w:val="00E2594F"/>
    <w:rsid w:val="00E30514"/>
    <w:rsid w:val="00E3113A"/>
    <w:rsid w:val="00E372BC"/>
    <w:rsid w:val="00E403F0"/>
    <w:rsid w:val="00E44B69"/>
    <w:rsid w:val="00E51277"/>
    <w:rsid w:val="00E5318E"/>
    <w:rsid w:val="00E54611"/>
    <w:rsid w:val="00E63C85"/>
    <w:rsid w:val="00E779E8"/>
    <w:rsid w:val="00E84CDE"/>
    <w:rsid w:val="00E87BE1"/>
    <w:rsid w:val="00E92A82"/>
    <w:rsid w:val="00E949F6"/>
    <w:rsid w:val="00E9761A"/>
    <w:rsid w:val="00EA332D"/>
    <w:rsid w:val="00EA3CE3"/>
    <w:rsid w:val="00EA3E26"/>
    <w:rsid w:val="00EB3E16"/>
    <w:rsid w:val="00EB6AD9"/>
    <w:rsid w:val="00EC4661"/>
    <w:rsid w:val="00EC6954"/>
    <w:rsid w:val="00EC75A7"/>
    <w:rsid w:val="00ED215C"/>
    <w:rsid w:val="00ED3863"/>
    <w:rsid w:val="00ED456F"/>
    <w:rsid w:val="00ED6A2F"/>
    <w:rsid w:val="00EE140E"/>
    <w:rsid w:val="00EE43D9"/>
    <w:rsid w:val="00EE57B6"/>
    <w:rsid w:val="00EE5C00"/>
    <w:rsid w:val="00EF1B40"/>
    <w:rsid w:val="00EF4C5D"/>
    <w:rsid w:val="00F1143C"/>
    <w:rsid w:val="00F21AD1"/>
    <w:rsid w:val="00F301A2"/>
    <w:rsid w:val="00F3046E"/>
    <w:rsid w:val="00F30A2B"/>
    <w:rsid w:val="00F3402E"/>
    <w:rsid w:val="00F348B6"/>
    <w:rsid w:val="00F41530"/>
    <w:rsid w:val="00F540AB"/>
    <w:rsid w:val="00F6452A"/>
    <w:rsid w:val="00F7055C"/>
    <w:rsid w:val="00F71D10"/>
    <w:rsid w:val="00F87D56"/>
    <w:rsid w:val="00F91E5B"/>
    <w:rsid w:val="00FA0DB5"/>
    <w:rsid w:val="00FB0FAF"/>
    <w:rsid w:val="00FB17A1"/>
    <w:rsid w:val="00FC1DA3"/>
    <w:rsid w:val="00FD05B1"/>
    <w:rsid w:val="00FD2596"/>
    <w:rsid w:val="00FD33A6"/>
    <w:rsid w:val="00FD7F1F"/>
    <w:rsid w:val="00FE2733"/>
    <w:rsid w:val="00FE5F5B"/>
    <w:rsid w:val="00FF36FC"/>
    <w:rsid w:val="00FF6158"/>
    <w:rsid w:val="00FF78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21A3BA"/>
  <w15:docId w15:val="{A2976F51-B88A-4634-A45E-776EB54E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jc w:val="both"/>
    </w:pPr>
    <w:rPr>
      <w:rFonts w:ascii="Arial" w:eastAsia="Calibri" w:hAnsi="Arial" w:cs="Arial"/>
      <w:sz w:val="24"/>
      <w:szCs w:val="22"/>
      <w:lang w:eastAsia="zh-CN"/>
    </w:rPr>
  </w:style>
  <w:style w:type="paragraph" w:styleId="Ttulo1">
    <w:name w:val="heading 1"/>
    <w:basedOn w:val="Normal"/>
    <w:next w:val="Normal"/>
    <w:qFormat/>
    <w:pPr>
      <w:keepNext/>
      <w:keepLines/>
      <w:numPr>
        <w:numId w:val="1"/>
      </w:numPr>
      <w:spacing w:after="0"/>
      <w:jc w:val="center"/>
      <w:outlineLvl w:val="0"/>
    </w:pPr>
    <w:rPr>
      <w:rFonts w:eastAsia="Times New Roman" w:cs="Times New Roman"/>
      <w:b/>
      <w:bCs/>
      <w:sz w:val="28"/>
      <w:szCs w:val="28"/>
    </w:rPr>
  </w:style>
  <w:style w:type="paragraph" w:styleId="Ttulo2">
    <w:name w:val="heading 2"/>
    <w:basedOn w:val="Normal"/>
    <w:next w:val="Normal"/>
    <w:qFormat/>
    <w:pPr>
      <w:keepNext/>
      <w:keepLines/>
      <w:numPr>
        <w:ilvl w:val="1"/>
        <w:numId w:val="1"/>
      </w:numPr>
      <w:spacing w:after="0"/>
      <w:outlineLvl w:val="1"/>
    </w:pPr>
    <w:rPr>
      <w:rFonts w:eastAsia="Times New Roman" w:cs="Times New Roman"/>
      <w:b/>
      <w:bCs/>
      <w:szCs w:val="26"/>
    </w:rPr>
  </w:style>
  <w:style w:type="paragraph" w:styleId="Ttulo3">
    <w:name w:val="heading 3"/>
    <w:basedOn w:val="Ttulo10"/>
    <w:next w:val="Corpodetexto"/>
    <w:qFormat/>
    <w:pPr>
      <w:numPr>
        <w:ilvl w:val="2"/>
        <w:numId w:val="1"/>
      </w:numPr>
      <w:spacing w:before="140" w:after="120"/>
      <w:outlineLvl w:val="2"/>
    </w:pPr>
    <w:rPr>
      <w:sz w:val="28"/>
      <w:szCs w:val="28"/>
    </w:rPr>
  </w:style>
  <w:style w:type="paragraph" w:styleId="Ttulo4">
    <w:name w:val="heading 4"/>
    <w:basedOn w:val="Normal"/>
    <w:next w:val="Normal"/>
    <w:qFormat/>
    <w:pPr>
      <w:keepNext/>
      <w:keepLines/>
      <w:numPr>
        <w:ilvl w:val="3"/>
        <w:numId w:val="1"/>
      </w:numPr>
      <w:spacing w:before="40" w:after="0" w:line="252" w:lineRule="auto"/>
      <w:jc w:val="left"/>
      <w:outlineLvl w:val="3"/>
    </w:pPr>
    <w:rPr>
      <w:rFonts w:ascii="Calibri Light" w:eastAsia="Times New Roman" w:hAnsi="Calibri Light" w:cs="Calibri Light"/>
      <w:i/>
      <w:iCs/>
      <w:color w:val="2F5496"/>
      <w:sz w:val="22"/>
      <w:lang w:val="x-none"/>
    </w:rPr>
  </w:style>
  <w:style w:type="paragraph" w:styleId="Ttulo6">
    <w:name w:val="heading 6"/>
    <w:basedOn w:val="Normal"/>
    <w:next w:val="Normal"/>
    <w:qFormat/>
    <w:pPr>
      <w:keepNext/>
      <w:keepLines/>
      <w:numPr>
        <w:ilvl w:val="5"/>
        <w:numId w:val="1"/>
      </w:numPr>
      <w:spacing w:before="200" w:after="0"/>
      <w:outlineLvl w:val="5"/>
    </w:pPr>
    <w:rPr>
      <w:rFonts w:ascii="Cambria" w:eastAsia="Times New Roman" w:hAnsi="Cambria" w:cs="Times New Roman"/>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ontepargpadro2">
    <w:name w:val="Fonte parág. padrão2"/>
  </w:style>
  <w:style w:type="character" w:customStyle="1" w:styleId="WW8Num2z0">
    <w:name w:val="WW8Num2z0"/>
    <w:rPr>
      <w:rFonts w:hint="default"/>
    </w:rPr>
  </w:style>
  <w:style w:type="character" w:customStyle="1" w:styleId="WW8Num3z0">
    <w:name w:val="WW8Num3z0"/>
    <w:rPr>
      <w:sz w:val="24"/>
      <w:szCs w:val="24"/>
    </w:rPr>
  </w:style>
  <w:style w:type="character" w:customStyle="1" w:styleId="WW8Num4z0">
    <w:name w:val="WW8Num4z0"/>
    <w:rPr>
      <w:rFonts w:ascii="Symbol" w:eastAsia="Times New Roman" w:hAnsi="Symbol"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Fontepargpadro1">
    <w:name w:val="Fonte parág. padrão1"/>
  </w:style>
  <w:style w:type="character" w:customStyle="1" w:styleId="Ttulo1Char">
    <w:name w:val="Título 1 Char"/>
    <w:rPr>
      <w:rFonts w:ascii="Arial" w:eastAsia="Times New Roman" w:hAnsi="Arial" w:cs="Times New Roman"/>
      <w:b/>
      <w:bCs/>
      <w:sz w:val="28"/>
      <w:szCs w:val="28"/>
    </w:rPr>
  </w:style>
  <w:style w:type="character" w:customStyle="1" w:styleId="Ttulo2Char">
    <w:name w:val="Título 2 Char"/>
    <w:rPr>
      <w:rFonts w:ascii="Arial" w:eastAsia="Times New Roman" w:hAnsi="Arial" w:cs="Times New Roman"/>
      <w:b/>
      <w:bCs/>
      <w:sz w:val="24"/>
      <w:szCs w:val="26"/>
    </w:rPr>
  </w:style>
  <w:style w:type="character" w:customStyle="1" w:styleId="CabealhoChar">
    <w:name w:val="Cabeçalho Char"/>
    <w:rPr>
      <w:rFonts w:ascii="Arial" w:hAnsi="Arial" w:cs="Arial"/>
      <w:sz w:val="24"/>
    </w:rPr>
  </w:style>
  <w:style w:type="character" w:customStyle="1" w:styleId="RodapChar">
    <w:name w:val="Rodapé Char"/>
    <w:rPr>
      <w:rFonts w:ascii="Arial" w:hAnsi="Arial" w:cs="Arial"/>
      <w:sz w:val="24"/>
    </w:rPr>
  </w:style>
  <w:style w:type="character" w:customStyle="1" w:styleId="TextodebaloChar">
    <w:name w:val="Texto de balão Char"/>
    <w:rPr>
      <w:rFonts w:ascii="Tahoma" w:hAnsi="Tahoma" w:cs="Tahoma"/>
      <w:sz w:val="16"/>
      <w:szCs w:val="16"/>
    </w:rPr>
  </w:style>
  <w:style w:type="character" w:customStyle="1" w:styleId="Ttulo6Char">
    <w:name w:val="Título 6 Char"/>
    <w:rPr>
      <w:rFonts w:ascii="Cambria" w:eastAsia="Times New Roman" w:hAnsi="Cambria" w:cs="Times New Roman"/>
      <w:i/>
      <w:iCs/>
      <w:color w:val="243F60"/>
      <w:sz w:val="24"/>
    </w:rPr>
  </w:style>
  <w:style w:type="character" w:customStyle="1" w:styleId="Recuodecorpodetexto2Char">
    <w:name w:val="Recuo de corpo de texto 2 Char"/>
    <w:rPr>
      <w:rFonts w:ascii="Times New Roman" w:eastAsia="MS Mincho" w:hAnsi="Times New Roman" w:cs="Times New Roman"/>
      <w:sz w:val="24"/>
      <w:szCs w:val="24"/>
    </w:rPr>
  </w:style>
  <w:style w:type="character" w:customStyle="1" w:styleId="Ttulo4Char">
    <w:name w:val="Título 4 Char"/>
    <w:rPr>
      <w:rFonts w:ascii="Calibri Light" w:eastAsia="Times New Roman" w:hAnsi="Calibri Light" w:cs="Calibri Light"/>
      <w:i/>
      <w:iCs/>
      <w:color w:val="2F5496"/>
      <w:sz w:val="22"/>
      <w:szCs w:val="22"/>
      <w:lang w:val="x-none"/>
    </w:rPr>
  </w:style>
  <w:style w:type="character" w:customStyle="1" w:styleId="CorpodetextoChar">
    <w:name w:val="Corpo de texto Char"/>
    <w:rPr>
      <w:rFonts w:ascii="Times New Roman" w:eastAsia="Times New Roman" w:hAnsi="Times New Roman" w:cs="Times New Roman"/>
      <w:spacing w:val="20"/>
      <w:sz w:val="16"/>
    </w:rPr>
  </w:style>
  <w:style w:type="character" w:customStyle="1" w:styleId="Recuodecorpodetexto3Char">
    <w:name w:val="Recuo de corpo de texto 3 Char"/>
    <w:rPr>
      <w:rFonts w:ascii="Verdana" w:eastAsia="Times New Roman" w:hAnsi="Verdana" w:cs="Verdana"/>
      <w:sz w:val="24"/>
    </w:rPr>
  </w:style>
  <w:style w:type="character" w:customStyle="1" w:styleId="info">
    <w:name w:val="info"/>
  </w:style>
  <w:style w:type="character" w:styleId="Forte">
    <w:name w:val="Strong"/>
    <w:qFormat/>
    <w:rPr>
      <w:b/>
      <w:bCs/>
    </w:rPr>
  </w:style>
  <w:style w:type="character" w:customStyle="1" w:styleId="RecuodecorpodetextoChar">
    <w:name w:val="Recuo de corpo de texto Char"/>
    <w:rPr>
      <w:rFonts w:ascii="Arial" w:eastAsia="Times New Roman" w:hAnsi="Arial" w:cs="Arial"/>
      <w:sz w:val="22"/>
    </w:rPr>
  </w:style>
  <w:style w:type="character" w:customStyle="1" w:styleId="TtuloChar">
    <w:name w:val="Título Char"/>
    <w:rPr>
      <w:rFonts w:ascii="Arial" w:eastAsia="Times New Roman" w:hAnsi="Arial" w:cs="Arial"/>
      <w:b/>
      <w:bCs/>
      <w:sz w:val="24"/>
      <w:szCs w:val="24"/>
      <w:u w:val="single"/>
    </w:rPr>
  </w:style>
  <w:style w:type="character" w:customStyle="1" w:styleId="Corpodetexto2Char">
    <w:name w:val="Corpo de texto 2 Char"/>
    <w:rPr>
      <w:rFonts w:ascii="Arial" w:eastAsia="Times New Roman" w:hAnsi="Arial" w:cs="Arial"/>
      <w:sz w:val="22"/>
    </w:rPr>
  </w:style>
  <w:style w:type="character" w:styleId="Hyperlink">
    <w:name w:val="Hyperlink"/>
    <w:rPr>
      <w:color w:val="0000FF"/>
      <w:u w:val="single"/>
    </w:rPr>
  </w:style>
  <w:style w:type="character" w:customStyle="1" w:styleId="Pr-formataoHTMLChar">
    <w:name w:val="Pré-formatação HTML Char"/>
    <w:rPr>
      <w:rFonts w:ascii="Courier New" w:eastAsia="Times New Roman" w:hAnsi="Courier New" w:cs="Courier New"/>
      <w:lang w:val="x-none"/>
    </w:rPr>
  </w:style>
  <w:style w:type="character" w:styleId="nfase">
    <w:name w:val="Emphasis"/>
    <w:uiPriority w:val="20"/>
    <w:qFormat/>
    <w:rPr>
      <w:i/>
      <w:iCs/>
    </w:rPr>
  </w:style>
  <w:style w:type="character" w:customStyle="1" w:styleId="MenoPendente1">
    <w:name w:val="Menção Pendente1"/>
    <w:rPr>
      <w:color w:val="808080"/>
      <w:shd w:val="clear" w:color="auto" w:fill="E6E6E6"/>
    </w:rPr>
  </w:style>
  <w:style w:type="character" w:customStyle="1" w:styleId="highlightbrs">
    <w:name w:val="highlightbrs"/>
  </w:style>
  <w:style w:type="character" w:customStyle="1" w:styleId="firstementa">
    <w:name w:val="firstementa"/>
  </w:style>
  <w:style w:type="character" w:customStyle="1" w:styleId="hidden">
    <w:name w:val="hidden"/>
  </w:style>
  <w:style w:type="character" w:customStyle="1" w:styleId="marcapalavra">
    <w:name w:val="marca_palavra"/>
  </w:style>
  <w:style w:type="character" w:customStyle="1" w:styleId="CharacterStyle1">
    <w:name w:val="Character Style 1"/>
    <w:rPr>
      <w:rFonts w:ascii="Arial" w:hAnsi="Arial" w:cs="Arial"/>
      <w:sz w:val="24"/>
      <w:szCs w:val="24"/>
    </w:rPr>
  </w:style>
  <w:style w:type="character" w:customStyle="1" w:styleId="TextodenotaderodapChar">
    <w:name w:val="Texto de nota de rodapé Char"/>
    <w:rPr>
      <w:rFonts w:ascii="Times New Roman" w:eastAsia="Times New Roman" w:hAnsi="Times New Roman" w:cs="Times New Roman"/>
    </w:rPr>
  </w:style>
  <w:style w:type="character" w:customStyle="1" w:styleId="Caracteresdenotaderodap">
    <w:name w:val="Caracteres de nota de rodapé"/>
    <w:rPr>
      <w:vertAlign w:val="superscript"/>
    </w:rPr>
  </w:style>
  <w:style w:type="paragraph" w:customStyle="1" w:styleId="Ttulo20">
    <w:name w:val="Título2"/>
    <w:basedOn w:val="Ttulo10"/>
    <w:next w:val="Corpodetexto"/>
    <w:rPr>
      <w:sz w:val="56"/>
      <w:szCs w:val="56"/>
    </w:rPr>
  </w:style>
  <w:style w:type="paragraph" w:styleId="Corpodetexto">
    <w:name w:val="Body Text"/>
    <w:basedOn w:val="Normal"/>
    <w:pPr>
      <w:spacing w:after="0"/>
      <w:ind w:right="6994"/>
      <w:jc w:val="center"/>
    </w:pPr>
    <w:rPr>
      <w:rFonts w:ascii="Times New Roman" w:eastAsia="Times New Roman" w:hAnsi="Times New Roman" w:cs="Times New Roman"/>
      <w:spacing w:val="20"/>
      <w:sz w:val="16"/>
      <w:szCs w:val="20"/>
    </w:rPr>
  </w:style>
  <w:style w:type="paragraph" w:styleId="Lista">
    <w:name w:val="List"/>
    <w:basedOn w:val="Corpodetexto"/>
    <w:rPr>
      <w:rFonts w:cs="Mangal"/>
    </w:rPr>
  </w:style>
  <w:style w:type="paragraph" w:styleId="Legenda">
    <w:name w:val="caption"/>
    <w:basedOn w:val="Normal"/>
    <w:qFormat/>
    <w:pPr>
      <w:suppressLineNumbers/>
      <w:spacing w:before="120"/>
    </w:pPr>
    <w:rPr>
      <w:rFonts w:cs="Mangal"/>
      <w:i/>
      <w:iCs/>
      <w:szCs w:val="24"/>
    </w:rPr>
  </w:style>
  <w:style w:type="paragraph" w:customStyle="1" w:styleId="ndice">
    <w:name w:val="Índice"/>
    <w:basedOn w:val="Normal"/>
    <w:pPr>
      <w:suppressLineNumbers/>
    </w:pPr>
    <w:rPr>
      <w:rFonts w:cs="Mangal"/>
    </w:rPr>
  </w:style>
  <w:style w:type="paragraph" w:customStyle="1" w:styleId="Ttulo10">
    <w:name w:val="Título1"/>
    <w:basedOn w:val="Normal"/>
    <w:next w:val="Corpodetexto"/>
    <w:pPr>
      <w:spacing w:after="0" w:line="360" w:lineRule="auto"/>
      <w:jc w:val="center"/>
    </w:pPr>
    <w:rPr>
      <w:rFonts w:eastAsia="Times New Roman"/>
      <w:b/>
      <w:bCs/>
      <w:szCs w:val="24"/>
      <w:u w:val="single"/>
    </w:rPr>
  </w:style>
  <w:style w:type="paragraph" w:styleId="Cabealho">
    <w:name w:val="header"/>
    <w:basedOn w:val="Normal"/>
    <w:pPr>
      <w:spacing w:after="0"/>
    </w:pPr>
  </w:style>
  <w:style w:type="paragraph" w:styleId="Rodap">
    <w:name w:val="footer"/>
    <w:basedOn w:val="Normal"/>
    <w:pPr>
      <w:spacing w:after="0"/>
    </w:pPr>
  </w:style>
  <w:style w:type="paragraph" w:styleId="Textodebalo">
    <w:name w:val="Balloon Text"/>
    <w:basedOn w:val="Normal"/>
    <w:pPr>
      <w:spacing w:after="0"/>
    </w:pPr>
    <w:rPr>
      <w:rFonts w:ascii="Tahoma" w:hAnsi="Tahoma" w:cs="Tahoma"/>
      <w:sz w:val="16"/>
      <w:szCs w:val="16"/>
    </w:rPr>
  </w:style>
  <w:style w:type="paragraph" w:customStyle="1" w:styleId="Recuodecorpodetexto21">
    <w:name w:val="Recuo de corpo de texto 21"/>
    <w:basedOn w:val="Normal"/>
    <w:pPr>
      <w:spacing w:after="0"/>
      <w:ind w:firstLine="720"/>
    </w:pPr>
    <w:rPr>
      <w:rFonts w:ascii="Times New Roman" w:eastAsia="MS Mincho" w:hAnsi="Times New Roman" w:cs="Times New Roman"/>
      <w:szCs w:val="24"/>
    </w:rPr>
  </w:style>
  <w:style w:type="paragraph" w:customStyle="1" w:styleId="Recuodecorpodetexto31">
    <w:name w:val="Recuo de corpo de texto 31"/>
    <w:basedOn w:val="Normal"/>
    <w:pPr>
      <w:overflowPunct w:val="0"/>
      <w:autoSpaceDE w:val="0"/>
      <w:spacing w:before="120" w:line="288" w:lineRule="auto"/>
      <w:ind w:firstLine="1134"/>
      <w:textAlignment w:val="baseline"/>
    </w:pPr>
    <w:rPr>
      <w:rFonts w:ascii="Verdana" w:eastAsia="Times New Roman" w:hAnsi="Verdana" w:cs="Verdana"/>
      <w:szCs w:val="20"/>
    </w:rPr>
  </w:style>
  <w:style w:type="paragraph" w:styleId="Recuodecorpodetexto">
    <w:name w:val="Body Text Indent"/>
    <w:basedOn w:val="Normal"/>
    <w:pPr>
      <w:ind w:left="283"/>
      <w:jc w:val="left"/>
    </w:pPr>
    <w:rPr>
      <w:rFonts w:eastAsia="Times New Roman"/>
      <w:sz w:val="22"/>
      <w:szCs w:val="20"/>
    </w:rPr>
  </w:style>
  <w:style w:type="paragraph" w:customStyle="1" w:styleId="texto-andr">
    <w:name w:val="texto - andré"/>
    <w:pPr>
      <w:widowControl w:val="0"/>
      <w:shd w:val="clear" w:color="auto" w:fill="FFFFFF"/>
      <w:suppressAutoHyphens/>
      <w:autoSpaceDE w:val="0"/>
      <w:spacing w:before="80" w:after="80" w:line="360" w:lineRule="atLeast"/>
      <w:ind w:firstLine="2268"/>
      <w:jc w:val="both"/>
    </w:pPr>
    <w:rPr>
      <w:color w:val="000000"/>
      <w:sz w:val="26"/>
      <w:szCs w:val="26"/>
      <w:lang w:eastAsia="zh-CN"/>
    </w:rPr>
  </w:style>
  <w:style w:type="paragraph" w:customStyle="1" w:styleId="Corpodetexto21">
    <w:name w:val="Corpo de texto 21"/>
    <w:basedOn w:val="Normal"/>
    <w:pPr>
      <w:spacing w:line="480" w:lineRule="auto"/>
      <w:jc w:val="left"/>
    </w:pPr>
    <w:rPr>
      <w:rFonts w:eastAsia="Times New Roman"/>
      <w:sz w:val="22"/>
      <w:szCs w:val="20"/>
    </w:rPr>
  </w:style>
  <w:style w:type="paragraph" w:styleId="NormalWeb">
    <w:name w:val="Normal (Web)"/>
    <w:basedOn w:val="Normal"/>
    <w:pPr>
      <w:spacing w:before="280" w:after="280"/>
      <w:jc w:val="left"/>
    </w:pPr>
    <w:rPr>
      <w:rFonts w:ascii="Times New Roman" w:eastAsia="Times New Roman" w:hAnsi="Times New Roman" w:cs="Times New Roman"/>
      <w:szCs w:val="24"/>
    </w:rPr>
  </w:style>
  <w:style w:type="paragraph" w:customStyle="1" w:styleId="Default">
    <w:name w:val="Default"/>
    <w:pPr>
      <w:suppressAutoHyphens/>
      <w:autoSpaceDE w:val="0"/>
    </w:pPr>
    <w:rPr>
      <w:color w:val="000000"/>
      <w:sz w:val="24"/>
      <w:szCs w:val="24"/>
      <w:lang w:eastAsia="zh-CN"/>
    </w:rPr>
  </w:style>
  <w:style w:type="paragraph" w:customStyle="1" w:styleId="WW-Recuodecorpodetexto2">
    <w:name w:val="WW-Recuo de corpo de texto 2"/>
    <w:basedOn w:val="Normal"/>
    <w:pPr>
      <w:tabs>
        <w:tab w:val="left" w:pos="4590"/>
        <w:tab w:val="left" w:pos="5310"/>
        <w:tab w:val="left" w:pos="6030"/>
        <w:tab w:val="left" w:pos="6750"/>
        <w:tab w:val="left" w:pos="7470"/>
        <w:tab w:val="left" w:pos="8190"/>
      </w:tabs>
      <w:spacing w:after="0" w:line="0" w:lineRule="atLeast"/>
      <w:ind w:left="1701" w:firstLine="1"/>
    </w:pPr>
    <w:rPr>
      <w:rFonts w:ascii="Garamond" w:eastAsia="Times New Roman" w:hAnsi="Garamond" w:cs="Garamond"/>
      <w:b/>
      <w:color w:val="000000"/>
      <w:szCs w:val="20"/>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x-none"/>
    </w:rPr>
  </w:style>
  <w:style w:type="paragraph" w:customStyle="1" w:styleId="indent-para">
    <w:name w:val="indent-para"/>
    <w:basedOn w:val="Normal"/>
    <w:pPr>
      <w:spacing w:before="280" w:after="280"/>
      <w:jc w:val="left"/>
    </w:pPr>
    <w:rPr>
      <w:rFonts w:ascii="Times New Roman" w:eastAsia="Times New Roman" w:hAnsi="Times New Roman" w:cs="Times New Roman"/>
      <w:szCs w:val="24"/>
    </w:rPr>
  </w:style>
  <w:style w:type="paragraph" w:customStyle="1" w:styleId="paras">
    <w:name w:val="paras"/>
    <w:basedOn w:val="Normal"/>
    <w:pPr>
      <w:spacing w:before="280" w:after="280"/>
      <w:jc w:val="left"/>
    </w:pPr>
    <w:rPr>
      <w:rFonts w:ascii="Times New Roman" w:eastAsia="Times New Roman" w:hAnsi="Times New Roman" w:cs="Times New Roman"/>
      <w:szCs w:val="24"/>
    </w:rPr>
  </w:style>
  <w:style w:type="paragraph" w:customStyle="1" w:styleId="PargrafoNormal">
    <w:name w:val="Parágrafo Normal"/>
    <w:basedOn w:val="Normal"/>
    <w:pPr>
      <w:spacing w:after="60" w:line="360" w:lineRule="auto"/>
      <w:ind w:firstLine="1418"/>
    </w:pPr>
    <w:rPr>
      <w:rFonts w:eastAsia="Times New Roman"/>
      <w:szCs w:val="24"/>
    </w:rPr>
  </w:style>
  <w:style w:type="paragraph" w:customStyle="1" w:styleId="Style2">
    <w:name w:val="Style 2"/>
    <w:pPr>
      <w:widowControl w:val="0"/>
      <w:suppressAutoHyphens/>
      <w:autoSpaceDE w:val="0"/>
      <w:spacing w:before="36"/>
      <w:ind w:firstLine="144"/>
      <w:jc w:val="both"/>
    </w:pPr>
    <w:rPr>
      <w:rFonts w:ascii="Arial" w:eastAsia="SimSun" w:hAnsi="Arial" w:cs="Arial"/>
      <w:sz w:val="24"/>
      <w:szCs w:val="24"/>
      <w:lang w:eastAsia="zh-CN"/>
    </w:rPr>
  </w:style>
  <w:style w:type="paragraph" w:customStyle="1" w:styleId="Style1">
    <w:name w:val="Style 1"/>
    <w:pPr>
      <w:widowControl w:val="0"/>
      <w:suppressAutoHyphens/>
      <w:autoSpaceDE w:val="0"/>
    </w:pPr>
    <w:rPr>
      <w:rFonts w:eastAsia="SimSun"/>
      <w:lang w:eastAsia="zh-CN"/>
    </w:rPr>
  </w:style>
  <w:style w:type="paragraph" w:styleId="Textodenotaderodap">
    <w:name w:val="footnote text"/>
    <w:basedOn w:val="Normal"/>
    <w:pPr>
      <w:spacing w:after="0"/>
      <w:jc w:val="left"/>
    </w:pPr>
    <w:rPr>
      <w:rFonts w:ascii="Times New Roman" w:eastAsia="Times New Roman" w:hAnsi="Times New Roman" w:cs="Times New Roman"/>
      <w:sz w:val="20"/>
      <w:szCs w:val="20"/>
    </w:rPr>
  </w:style>
  <w:style w:type="paragraph" w:customStyle="1" w:styleId="Citaes">
    <w:name w:val="Citações"/>
    <w:basedOn w:val="Normal"/>
    <w:pPr>
      <w:spacing w:after="283"/>
      <w:ind w:left="567" w:right="567"/>
    </w:pPr>
  </w:style>
  <w:style w:type="paragraph" w:styleId="Subttulo">
    <w:name w:val="Subtitle"/>
    <w:basedOn w:val="Ttulo10"/>
    <w:next w:val="Corpodetexto"/>
    <w:qFormat/>
    <w:pPr>
      <w:spacing w:before="60" w:after="120"/>
    </w:pPr>
    <w:rPr>
      <w:sz w:val="36"/>
      <w:szCs w:val="36"/>
    </w:rPr>
  </w:style>
  <w:style w:type="paragraph" w:customStyle="1" w:styleId="Textopadro">
    <w:name w:val="Texto padrão"/>
    <w:basedOn w:val="Normal"/>
    <w:rsid w:val="004B459D"/>
    <w:pPr>
      <w:tabs>
        <w:tab w:val="left" w:pos="0"/>
      </w:tabs>
      <w:spacing w:after="0"/>
      <w:jc w:val="left"/>
    </w:pPr>
    <w:rPr>
      <w:rFonts w:ascii="Times New Roman" w:eastAsia="Times New Roman" w:hAnsi="Times New Roman" w:cs="Times New Roman"/>
      <w:szCs w:val="20"/>
      <w:lang w:eastAsia="ar-SA"/>
    </w:rPr>
  </w:style>
  <w:style w:type="paragraph" w:styleId="PargrafodaLista">
    <w:name w:val="List Paragraph"/>
    <w:basedOn w:val="Normal"/>
    <w:uiPriority w:val="1"/>
    <w:qFormat/>
    <w:rsid w:val="004807B2"/>
    <w:pPr>
      <w:suppressAutoHyphens w:val="0"/>
      <w:spacing w:after="0"/>
      <w:ind w:left="720"/>
      <w:contextualSpacing/>
      <w:jc w:val="left"/>
    </w:pPr>
    <w:rPr>
      <w:rFonts w:ascii="Times New Roman" w:eastAsia="Times New Roman" w:hAnsi="Times New Roman" w:cs="Times New Roman"/>
      <w:sz w:val="20"/>
      <w:szCs w:val="20"/>
      <w:lang w:eastAsia="pt-BR"/>
    </w:rPr>
  </w:style>
  <w:style w:type="paragraph" w:customStyle="1" w:styleId="parag2">
    <w:name w:val="parag2"/>
    <w:basedOn w:val="Normal"/>
    <w:rsid w:val="009C2D53"/>
    <w:pPr>
      <w:suppressAutoHyphens w:val="0"/>
      <w:spacing w:before="100" w:beforeAutospacing="1" w:after="100" w:afterAutospacing="1"/>
      <w:jc w:val="left"/>
    </w:pPr>
    <w:rPr>
      <w:rFonts w:ascii="Times New Roman" w:eastAsia="Times New Roman" w:hAnsi="Times New Roman" w:cs="Times New Roman"/>
      <w:szCs w:val="24"/>
      <w:lang w:eastAsia="pt-BR"/>
    </w:rPr>
  </w:style>
  <w:style w:type="paragraph" w:customStyle="1" w:styleId="texto20">
    <w:name w:val="texto20"/>
    <w:basedOn w:val="Normal"/>
    <w:rsid w:val="009C2D53"/>
    <w:pPr>
      <w:suppressAutoHyphens w:val="0"/>
      <w:spacing w:before="100" w:beforeAutospacing="1" w:after="100" w:afterAutospacing="1"/>
      <w:jc w:val="left"/>
    </w:pPr>
    <w:rPr>
      <w:rFonts w:ascii="Times New Roman" w:eastAsia="Times New Roman" w:hAnsi="Times New Roman" w:cs="Times New Roman"/>
      <w:szCs w:val="24"/>
      <w:lang w:eastAsia="pt-BR"/>
    </w:rPr>
  </w:style>
  <w:style w:type="paragraph" w:customStyle="1" w:styleId="texto2">
    <w:name w:val="texto2"/>
    <w:basedOn w:val="Normal"/>
    <w:rsid w:val="009C2D53"/>
    <w:pPr>
      <w:suppressAutoHyphens w:val="0"/>
      <w:spacing w:before="100" w:beforeAutospacing="1" w:after="100" w:afterAutospacing="1"/>
      <w:jc w:val="left"/>
    </w:pPr>
    <w:rPr>
      <w:rFonts w:ascii="Times New Roman" w:eastAsia="Times New Roman" w:hAnsi="Times New Roman" w:cs="Times New Roman"/>
      <w:szCs w:val="24"/>
      <w:lang w:eastAsia="pt-BR"/>
    </w:rPr>
  </w:style>
  <w:style w:type="table" w:styleId="Tabelacomgrade">
    <w:name w:val="Table Grid"/>
    <w:basedOn w:val="Tabelanormal"/>
    <w:uiPriority w:val="59"/>
    <w:rsid w:val="003E7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1"/>
    <w:uiPriority w:val="99"/>
    <w:unhideWhenUsed/>
    <w:rsid w:val="008E4682"/>
    <w:pPr>
      <w:spacing w:line="480" w:lineRule="auto"/>
      <w:ind w:left="283"/>
    </w:pPr>
  </w:style>
  <w:style w:type="character" w:customStyle="1" w:styleId="Recuodecorpodetexto2Char1">
    <w:name w:val="Recuo de corpo de texto 2 Char1"/>
    <w:link w:val="Recuodecorpodetexto2"/>
    <w:uiPriority w:val="99"/>
    <w:rsid w:val="008E4682"/>
    <w:rPr>
      <w:rFonts w:ascii="Arial" w:eastAsia="Calibri" w:hAnsi="Arial" w:cs="Arial"/>
      <w:sz w:val="24"/>
      <w:szCs w:val="22"/>
      <w:lang w:eastAsia="zh-CN"/>
    </w:rPr>
  </w:style>
  <w:style w:type="character" w:customStyle="1" w:styleId="flagicon">
    <w:name w:val="flagicon"/>
    <w:rsid w:val="007E088D"/>
  </w:style>
  <w:style w:type="paragraph" w:customStyle="1" w:styleId="textoementa">
    <w:name w:val="texto_ementa"/>
    <w:basedOn w:val="Normal"/>
    <w:rsid w:val="00DE4A57"/>
    <w:pPr>
      <w:suppressAutoHyphens w:val="0"/>
      <w:spacing w:before="100" w:beforeAutospacing="1" w:after="100" w:afterAutospacing="1"/>
      <w:jc w:val="left"/>
    </w:pPr>
    <w:rPr>
      <w:rFonts w:ascii="Times New Roman" w:eastAsia="Times New Roman" w:hAnsi="Times New Roman" w:cs="Times New Roman"/>
      <w:szCs w:val="24"/>
      <w:lang w:eastAsia="pt-BR"/>
    </w:rPr>
  </w:style>
  <w:style w:type="paragraph" w:customStyle="1" w:styleId="textojustificadorecuoprimeiralinha">
    <w:name w:val="texto_justificado_recuo_primeira_linha"/>
    <w:basedOn w:val="Normal"/>
    <w:rsid w:val="002E27F5"/>
    <w:pPr>
      <w:suppressAutoHyphens w:val="0"/>
      <w:spacing w:before="100" w:beforeAutospacing="1" w:after="100" w:afterAutospacing="1"/>
      <w:jc w:val="left"/>
    </w:pPr>
    <w:rPr>
      <w:rFonts w:ascii="Times New Roman" w:eastAsia="Times New Roman" w:hAnsi="Times New Roman" w:cs="Times New Roman"/>
      <w:szCs w:val="24"/>
      <w:lang w:eastAsia="pt-BR"/>
    </w:rPr>
  </w:style>
  <w:style w:type="paragraph" w:customStyle="1" w:styleId="recuodecorpodetexto0">
    <w:name w:val="recuo_de_corpo_de_texto"/>
    <w:basedOn w:val="Normal"/>
    <w:rsid w:val="00347904"/>
    <w:pPr>
      <w:suppressAutoHyphens w:val="0"/>
      <w:spacing w:before="100" w:beforeAutospacing="1" w:after="100" w:afterAutospacing="1"/>
      <w:jc w:val="left"/>
    </w:pPr>
    <w:rPr>
      <w:rFonts w:ascii="Times New Roman" w:eastAsia="Times New Roman" w:hAnsi="Times New Roman" w:cs="Times New Roman"/>
      <w:szCs w:val="24"/>
      <w:lang w:eastAsia="pt-BR"/>
    </w:rPr>
  </w:style>
  <w:style w:type="paragraph" w:customStyle="1" w:styleId="normalweb0">
    <w:name w:val="normal_(web)"/>
    <w:basedOn w:val="Normal"/>
    <w:rsid w:val="00347904"/>
    <w:pPr>
      <w:suppressAutoHyphens w:val="0"/>
      <w:spacing w:before="100" w:beforeAutospacing="1" w:after="100" w:afterAutospacing="1"/>
      <w:jc w:val="left"/>
    </w:pPr>
    <w:rPr>
      <w:rFonts w:ascii="Times New Roman" w:eastAsia="Times New Roman" w:hAnsi="Times New Roman" w:cs="Times New Roman"/>
      <w:szCs w:val="24"/>
      <w:lang w:eastAsia="pt-BR"/>
    </w:rPr>
  </w:style>
  <w:style w:type="paragraph" w:customStyle="1" w:styleId="corpodetexto0">
    <w:name w:val="corpo_de_texto"/>
    <w:basedOn w:val="Normal"/>
    <w:rsid w:val="00347904"/>
    <w:pPr>
      <w:suppressAutoHyphens w:val="0"/>
      <w:spacing w:before="100" w:beforeAutospacing="1" w:after="100" w:afterAutospacing="1"/>
      <w:jc w:val="left"/>
    </w:pPr>
    <w:rPr>
      <w:rFonts w:ascii="Times New Roman" w:eastAsia="Times New Roman" w:hAnsi="Times New Roman" w:cs="Times New Roman"/>
      <w:szCs w:val="24"/>
      <w:lang w:eastAsia="pt-BR"/>
    </w:rPr>
  </w:style>
  <w:style w:type="paragraph" w:customStyle="1" w:styleId="Standard">
    <w:name w:val="Standard"/>
    <w:rsid w:val="00073265"/>
    <w:pPr>
      <w:suppressAutoHyphens/>
      <w:autoSpaceDN w:val="0"/>
    </w:pPr>
    <w:rPr>
      <w:rFonts w:ascii="Liberation Serif" w:eastAsia="NSimSun" w:hAnsi="Liberation Serif" w:cs="Arial"/>
      <w:kern w:val="3"/>
      <w:sz w:val="24"/>
      <w:szCs w:val="24"/>
      <w:lang w:eastAsia="zh-CN" w:bidi="hi-IN"/>
    </w:rPr>
  </w:style>
  <w:style w:type="paragraph" w:customStyle="1" w:styleId="Textbody">
    <w:name w:val="Text body"/>
    <w:basedOn w:val="Standard"/>
    <w:rsid w:val="00073265"/>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6218">
      <w:bodyDiv w:val="1"/>
      <w:marLeft w:val="0"/>
      <w:marRight w:val="0"/>
      <w:marTop w:val="0"/>
      <w:marBottom w:val="0"/>
      <w:divBdr>
        <w:top w:val="none" w:sz="0" w:space="0" w:color="auto"/>
        <w:left w:val="none" w:sz="0" w:space="0" w:color="auto"/>
        <w:bottom w:val="none" w:sz="0" w:space="0" w:color="auto"/>
        <w:right w:val="none" w:sz="0" w:space="0" w:color="auto"/>
      </w:divBdr>
    </w:div>
    <w:div w:id="325978362">
      <w:bodyDiv w:val="1"/>
      <w:marLeft w:val="0"/>
      <w:marRight w:val="0"/>
      <w:marTop w:val="0"/>
      <w:marBottom w:val="0"/>
      <w:divBdr>
        <w:top w:val="none" w:sz="0" w:space="0" w:color="auto"/>
        <w:left w:val="none" w:sz="0" w:space="0" w:color="auto"/>
        <w:bottom w:val="none" w:sz="0" w:space="0" w:color="auto"/>
        <w:right w:val="none" w:sz="0" w:space="0" w:color="auto"/>
      </w:divBdr>
    </w:div>
    <w:div w:id="528757771">
      <w:bodyDiv w:val="1"/>
      <w:marLeft w:val="0"/>
      <w:marRight w:val="0"/>
      <w:marTop w:val="0"/>
      <w:marBottom w:val="0"/>
      <w:divBdr>
        <w:top w:val="none" w:sz="0" w:space="0" w:color="auto"/>
        <w:left w:val="none" w:sz="0" w:space="0" w:color="auto"/>
        <w:bottom w:val="none" w:sz="0" w:space="0" w:color="auto"/>
        <w:right w:val="none" w:sz="0" w:space="0" w:color="auto"/>
      </w:divBdr>
    </w:div>
    <w:div w:id="883177321">
      <w:bodyDiv w:val="1"/>
      <w:marLeft w:val="0"/>
      <w:marRight w:val="0"/>
      <w:marTop w:val="0"/>
      <w:marBottom w:val="0"/>
      <w:divBdr>
        <w:top w:val="none" w:sz="0" w:space="0" w:color="auto"/>
        <w:left w:val="none" w:sz="0" w:space="0" w:color="auto"/>
        <w:bottom w:val="none" w:sz="0" w:space="0" w:color="auto"/>
        <w:right w:val="none" w:sz="0" w:space="0" w:color="auto"/>
      </w:divBdr>
    </w:div>
    <w:div w:id="1127896168">
      <w:bodyDiv w:val="1"/>
      <w:marLeft w:val="0"/>
      <w:marRight w:val="0"/>
      <w:marTop w:val="0"/>
      <w:marBottom w:val="0"/>
      <w:divBdr>
        <w:top w:val="none" w:sz="0" w:space="0" w:color="auto"/>
        <w:left w:val="none" w:sz="0" w:space="0" w:color="auto"/>
        <w:bottom w:val="none" w:sz="0" w:space="0" w:color="auto"/>
        <w:right w:val="none" w:sz="0" w:space="0" w:color="auto"/>
      </w:divBdr>
    </w:div>
    <w:div w:id="1210187858">
      <w:bodyDiv w:val="1"/>
      <w:marLeft w:val="0"/>
      <w:marRight w:val="0"/>
      <w:marTop w:val="0"/>
      <w:marBottom w:val="0"/>
      <w:divBdr>
        <w:top w:val="none" w:sz="0" w:space="0" w:color="auto"/>
        <w:left w:val="none" w:sz="0" w:space="0" w:color="auto"/>
        <w:bottom w:val="none" w:sz="0" w:space="0" w:color="auto"/>
        <w:right w:val="none" w:sz="0" w:space="0" w:color="auto"/>
      </w:divBdr>
    </w:div>
    <w:div w:id="1422872497">
      <w:bodyDiv w:val="1"/>
      <w:marLeft w:val="0"/>
      <w:marRight w:val="0"/>
      <w:marTop w:val="0"/>
      <w:marBottom w:val="0"/>
      <w:divBdr>
        <w:top w:val="none" w:sz="0" w:space="0" w:color="auto"/>
        <w:left w:val="none" w:sz="0" w:space="0" w:color="auto"/>
        <w:bottom w:val="none" w:sz="0" w:space="0" w:color="auto"/>
        <w:right w:val="none" w:sz="0" w:space="0" w:color="auto"/>
      </w:divBdr>
    </w:div>
    <w:div w:id="1623995240">
      <w:bodyDiv w:val="1"/>
      <w:marLeft w:val="0"/>
      <w:marRight w:val="0"/>
      <w:marTop w:val="0"/>
      <w:marBottom w:val="0"/>
      <w:divBdr>
        <w:top w:val="none" w:sz="0" w:space="0" w:color="auto"/>
        <w:left w:val="none" w:sz="0" w:space="0" w:color="auto"/>
        <w:bottom w:val="none" w:sz="0" w:space="0" w:color="auto"/>
        <w:right w:val="none" w:sz="0" w:space="0" w:color="auto"/>
      </w:divBdr>
    </w:div>
    <w:div w:id="1775053207">
      <w:bodyDiv w:val="1"/>
      <w:marLeft w:val="0"/>
      <w:marRight w:val="0"/>
      <w:marTop w:val="0"/>
      <w:marBottom w:val="0"/>
      <w:divBdr>
        <w:top w:val="none" w:sz="0" w:space="0" w:color="auto"/>
        <w:left w:val="none" w:sz="0" w:space="0" w:color="auto"/>
        <w:bottom w:val="none" w:sz="0" w:space="0" w:color="auto"/>
        <w:right w:val="none" w:sz="0" w:space="0" w:color="auto"/>
      </w:divBdr>
    </w:div>
    <w:div w:id="20525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rdenador_edu@antoniocarlos.sc.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ntoniocarlos.sc.gov.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CF826-E17E-4A87-9A9A-A331575CE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2368</Words>
  <Characters>12791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15129</CharactersWithSpaces>
  <SharedDoc>false</SharedDoc>
  <HLinks>
    <vt:vector size="6" baseType="variant">
      <vt:variant>
        <vt:i4>7405660</vt:i4>
      </vt:variant>
      <vt:variant>
        <vt:i4>0</vt:i4>
      </vt:variant>
      <vt:variant>
        <vt:i4>0</vt:i4>
      </vt:variant>
      <vt:variant>
        <vt:i4>5</vt:i4>
      </vt:variant>
      <vt:variant>
        <vt:lpwstr>http://legislacao.planalto.gov.br/legisla/legislacao.nsf/Viw_Identificacao/DEC 11.188-2019?OpenDocument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César Drews</dc:creator>
  <cp:lastModifiedBy>Professor</cp:lastModifiedBy>
  <cp:revision>17</cp:revision>
  <cp:lastPrinted>2020-07-24T12:18:00Z</cp:lastPrinted>
  <dcterms:created xsi:type="dcterms:W3CDTF">2020-09-10T11:25:00Z</dcterms:created>
  <dcterms:modified xsi:type="dcterms:W3CDTF">2020-11-26T18:02:00Z</dcterms:modified>
</cp:coreProperties>
</file>